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32D" w:rsidRDefault="00C163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1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C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Cs w:val="22"/>
        </w:rPr>
        <w:t>TO AMEND SECTION 15</w:t>
      </w:r>
      <w:r>
        <w:rPr>
          <w:szCs w:val="22"/>
        </w:rPr>
        <w:noBreakHyphen/>
        <w:t>78</w:t>
      </w:r>
      <w:r>
        <w:rPr>
          <w:szCs w:val="22"/>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Pr>
          <w:szCs w:val="22"/>
        </w:rPr>
        <w:noBreakHyphen/>
        <w:t>78</w:t>
      </w:r>
      <w:r>
        <w:rPr>
          <w:szCs w:val="22"/>
        </w:rPr>
        <w:noBreakHyphen/>
        <w:t>120, RELATING TO LIMITATIONS ON LIABILITY, THE PROHIBITION AGAINST THE RECOVERY OF PUNITIVE OR EXEMPLARY DAMAGES OR PREJUDGMENT INTEREST, AND AN ATTORNEY’S SIGNATURE ON PLEADINGS, MOTIONS, OR OTHER PAPERS, SO AS TO PROVIDE THAT A STATE AGENCY OR POLITICAL SUBDIVISION MAY BE REPRESENTED BY A DEPARTMENT MANAGER, STAFF PERSON, OR ANOTHER OFFICIAL IN CERTAIN ACTIONS; AND TO AMEND SECTION 22-3-20, RELATING TO THE JURISDICTION OF THE MAGISTRATES COURT IN A CIVIL ACTION, SO AS TO INCREASE THE JURISDICTION FOR CERTAIN CLAIMS BROUGHT PURSUANT TO THE TORT CLAIMS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C04" w:rsidRDefault="007A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C04" w:rsidRDefault="007A3C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ABB" w:rsidRPr="00DE5D74" w:rsidRDefault="007A3C04"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1ABB" w:rsidRPr="00DE5D74">
        <w:rPr>
          <w:color w:val="000000" w:themeColor="text1"/>
          <w:u w:color="000000" w:themeColor="text1"/>
        </w:rPr>
        <w:t>Section 15</w:t>
      </w:r>
      <w:r w:rsidR="00031ABB" w:rsidRPr="00DE5D74">
        <w:rPr>
          <w:color w:val="000000" w:themeColor="text1"/>
          <w:u w:color="000000" w:themeColor="text1"/>
        </w:rPr>
        <w:noBreakHyphen/>
        <w:t>78</w:t>
      </w:r>
      <w:r w:rsidR="00031ABB" w:rsidRPr="00DE5D74">
        <w:rPr>
          <w:color w:val="000000" w:themeColor="text1"/>
          <w:u w:color="000000" w:themeColor="text1"/>
        </w:rPr>
        <w:noBreakHyphen/>
        <w:t>100 of the 1976 Code is amended to read: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w:t>
      </w:r>
      <w:r w:rsidRPr="00DE5D74">
        <w:rPr>
          <w:color w:val="000000" w:themeColor="text1"/>
          <w:u w:color="000000" w:themeColor="text1"/>
        </w:rPr>
        <w:tab/>
        <w:t>(a)</w:t>
      </w:r>
      <w:r w:rsidRPr="00DE5D74">
        <w:rPr>
          <w:color w:val="000000" w:themeColor="text1"/>
          <w:u w:color="000000" w:themeColor="text1"/>
        </w:rPr>
        <w:tab/>
        <w:t>Except as provided for in Section 15</w:t>
      </w:r>
      <w:r w:rsidRPr="00DE5D74">
        <w:rPr>
          <w:color w:val="000000" w:themeColor="text1"/>
          <w:u w:color="000000" w:themeColor="text1"/>
        </w:rPr>
        <w:noBreakHyphen/>
        <w:t>3</w:t>
      </w:r>
      <w:r w:rsidRPr="00DE5D74">
        <w:rPr>
          <w:color w:val="000000" w:themeColor="text1"/>
          <w:u w:color="000000" w:themeColor="text1"/>
        </w:rPr>
        <w:noBreakHyphen/>
        <w:t xml:space="preserve">40, an action for damages under this chapter may be instituted at any time within two years after the loss was or should have been discovered. </w:t>
      </w:r>
      <w:r w:rsidRPr="00DE5D74">
        <w:rPr>
          <w:strike/>
          <w:color w:val="000000" w:themeColor="text1"/>
          <w:u w:color="000000" w:themeColor="text1"/>
        </w:rPr>
        <w:t>Provided, that</w:t>
      </w:r>
      <w:r w:rsidRPr="00DE5D74">
        <w:rPr>
          <w:color w:val="000000" w:themeColor="text1"/>
          <w:u w:color="000000" w:themeColor="text1"/>
        </w:rPr>
        <w:t xml:space="preserve"> </w:t>
      </w:r>
      <w:r w:rsidRPr="00DE5D74">
        <w:rPr>
          <w:color w:val="000000" w:themeColor="text1"/>
          <w:u w:val="single" w:color="000000" w:themeColor="text1"/>
        </w:rPr>
        <w:t>However,</w:t>
      </w:r>
      <w:r w:rsidRPr="00DE5D74">
        <w:rPr>
          <w:color w:val="000000" w:themeColor="text1"/>
          <w:u w:color="000000" w:themeColor="text1"/>
        </w:rPr>
        <w:t xml:space="preserve"> if a claim for damages was filed and disallowed or rejected an action for damages filed under this chapter, based upon the same occurrence as the claim, may be instituted within three years after the loss was or should have been discovered.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(b)</w:t>
      </w:r>
      <w:r w:rsidRPr="00DE5D74">
        <w:rPr>
          <w:color w:val="000000" w:themeColor="text1"/>
          <w:u w:color="000000" w:themeColor="text1"/>
        </w:rPr>
        <w:tab/>
        <w:t xml:space="preserve">Jurisdiction for </w:t>
      </w:r>
      <w:r w:rsidRPr="00471D8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 action</w:t>
      </w:r>
      <w:r w:rsidRPr="00DE5D74">
        <w:rPr>
          <w:color w:val="000000" w:themeColor="text1"/>
          <w:u w:val="single" w:color="000000" w:themeColor="text1"/>
        </w:rPr>
        <w:t>, except an action seeking damages of five thousand dollars or less,</w:t>
      </w:r>
      <w:r w:rsidRPr="00DE5D74">
        <w:rPr>
          <w:color w:val="000000" w:themeColor="text1"/>
          <w:u w:color="000000" w:themeColor="text1"/>
        </w:rPr>
        <w:t xml:space="preserve"> </w:t>
      </w:r>
      <w:r w:rsidRPr="00471D83">
        <w:rPr>
          <w:strike/>
          <w:color w:val="000000" w:themeColor="text1"/>
          <w:u w:color="000000" w:themeColor="text1"/>
        </w:rPr>
        <w:t>action</w:t>
      </w:r>
      <w:r w:rsidRPr="00DE5D74">
        <w:rPr>
          <w:color w:val="000000" w:themeColor="text1"/>
          <w:u w:color="000000" w:themeColor="text1"/>
        </w:rPr>
        <w:t xml:space="preserve"> brought </w:t>
      </w:r>
      <w:r w:rsidRPr="00471D83">
        <w:rPr>
          <w:strike/>
          <w:color w:val="000000" w:themeColor="text1"/>
          <w:u w:color="000000" w:themeColor="text1"/>
        </w:rPr>
        <w:t>under</w:t>
      </w:r>
      <w:r>
        <w:rPr>
          <w:color w:val="000000" w:themeColor="text1"/>
          <w:u w:color="000000" w:themeColor="text1"/>
        </w:rPr>
        <w:t xml:space="preserve"> </w:t>
      </w:r>
      <w:r>
        <w:rPr>
          <w:color w:val="000000" w:themeColor="text1"/>
          <w:u w:val="single" w:color="000000" w:themeColor="text1"/>
        </w:rPr>
        <w:t>pursuant to</w:t>
      </w:r>
      <w:r w:rsidRPr="00DE5D74">
        <w:rPr>
          <w:color w:val="000000" w:themeColor="text1"/>
          <w:u w:color="000000" w:themeColor="text1"/>
        </w:rPr>
        <w:t xml:space="preserve"> this chapter is in the circuit court and brought in the county in which the act or omission occurred.  </w:t>
      </w:r>
      <w:r w:rsidRPr="00DE5D74">
        <w:rPr>
          <w:color w:val="000000" w:themeColor="text1"/>
          <w:u w:val="single" w:color="000000" w:themeColor="text1"/>
        </w:rPr>
        <w:t>An action seeking damages of five thousand dollars or less must be filed in magistrate</w:t>
      </w:r>
      <w:r>
        <w:rPr>
          <w:color w:val="000000" w:themeColor="text1"/>
          <w:u w:val="single" w:color="000000" w:themeColor="text1"/>
        </w:rPr>
        <w:t>s</w:t>
      </w:r>
      <w:r w:rsidRPr="00DE5D74">
        <w:rPr>
          <w:color w:val="000000" w:themeColor="text1"/>
          <w:u w:val="single" w:color="000000" w:themeColor="text1"/>
        </w:rPr>
        <w:t xml:space="preserve"> court.</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(c)</w:t>
      </w:r>
      <w:r w:rsidRPr="00DE5D74">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w:t>
      </w:r>
      <w:r>
        <w:rPr>
          <w:color w:val="000000" w:themeColor="text1"/>
          <w:u w:color="000000" w:themeColor="text1"/>
        </w:rPr>
        <w:t>t whom liability is determined.”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5D74">
        <w:rPr>
          <w:color w:val="000000" w:themeColor="text1"/>
          <w:u w:color="000000" w:themeColor="text1"/>
        </w:rPr>
        <w:t>SECTION</w:t>
      </w:r>
      <w:r w:rsidRPr="00DE5D74">
        <w:rPr>
          <w:color w:val="000000" w:themeColor="text1"/>
          <w:u w:color="000000" w:themeColor="text1"/>
        </w:rPr>
        <w:tab/>
        <w:t>2.</w:t>
      </w:r>
      <w:r w:rsidRPr="00DE5D74">
        <w:rPr>
          <w:color w:val="000000" w:themeColor="text1"/>
          <w:u w:color="000000" w:themeColor="text1"/>
        </w:rPr>
        <w:tab/>
        <w:t>Sec</w:t>
      </w:r>
      <w:r>
        <w:rPr>
          <w:color w:val="000000" w:themeColor="text1"/>
          <w:u w:color="000000" w:themeColor="text1"/>
        </w:rPr>
        <w:t>tion 15</w:t>
      </w:r>
      <w:r>
        <w:rPr>
          <w:color w:val="000000" w:themeColor="text1"/>
          <w:u w:color="000000" w:themeColor="text1"/>
        </w:rPr>
        <w:noBreakHyphen/>
        <w:t>78</w:t>
      </w:r>
      <w:r>
        <w:rPr>
          <w:color w:val="000000" w:themeColor="text1"/>
          <w:u w:color="000000" w:themeColor="text1"/>
        </w:rPr>
        <w:noBreakHyphen/>
        <w:t>120 of the 1976 Code</w:t>
      </w:r>
      <w:r w:rsidRPr="00DE5D74">
        <w:rPr>
          <w:color w:val="000000" w:themeColor="text1"/>
          <w:u w:color="000000" w:themeColor="text1"/>
        </w:rPr>
        <w:t xml:space="preserve"> is amended by adding at the end:</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(d)</w:t>
      </w:r>
      <w:r w:rsidRPr="00DE5D74">
        <w:rPr>
          <w:color w:val="000000" w:themeColor="text1"/>
          <w:u w:color="000000" w:themeColor="text1"/>
        </w:rPr>
        <w:tab/>
        <w:t xml:space="preserve">In an action seeking damages of five thousand dollars or less in which a state agency or political subdivision is a party, the state agency or political subdivision may be represented by a department manager, staff person, or another official.  However, </w:t>
      </w:r>
      <w:r w:rsidRPr="00F066FA">
        <w:rPr>
          <w:color w:val="000000" w:themeColor="text1"/>
          <w:u w:color="000000" w:themeColor="text1"/>
        </w:rPr>
        <w:t>these</w:t>
      </w:r>
      <w:r w:rsidRPr="00DE5D74">
        <w:rPr>
          <w:color w:val="000000" w:themeColor="text1"/>
          <w:u w:color="000000" w:themeColor="text1"/>
        </w:rPr>
        <w:t xml:space="preserve"> representatives </w:t>
      </w:r>
      <w:r w:rsidRPr="00F066FA">
        <w:rPr>
          <w:color w:val="000000" w:themeColor="text1"/>
          <w:u w:color="000000" w:themeColor="text1"/>
        </w:rPr>
        <w:t>may</w:t>
      </w:r>
      <w:r w:rsidRPr="00DE5D74">
        <w:rPr>
          <w:color w:val="000000" w:themeColor="text1"/>
          <w:u w:color="000000" w:themeColor="text1"/>
        </w:rPr>
        <w:t xml:space="preserve"> not receive compensation for representing a state a</w:t>
      </w:r>
      <w:r>
        <w:rPr>
          <w:color w:val="000000" w:themeColor="text1"/>
          <w:u w:color="000000" w:themeColor="text1"/>
        </w:rPr>
        <w:t>gency or political subdivision.”</w:t>
      </w: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22-3-20 of the 1976 Code is amended to read:</w:t>
      </w:r>
    </w:p>
    <w:p w:rsidR="00031ABB"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22-3-20.</w:t>
      </w:r>
      <w:r>
        <w:rPr>
          <w:color w:val="000000" w:themeColor="text1"/>
          <w:u w:color="000000" w:themeColor="text1"/>
        </w:rPr>
        <w:tab/>
      </w:r>
      <w:r w:rsidRPr="00471D83">
        <w:rPr>
          <w:strike/>
        </w:rPr>
        <w:t>No</w:t>
      </w:r>
      <w:r>
        <w:t xml:space="preserve"> </w:t>
      </w:r>
      <w:r>
        <w:rPr>
          <w:u w:val="single"/>
        </w:rPr>
        <w:t>A</w:t>
      </w:r>
      <w:r w:rsidRPr="007516BA">
        <w:t xml:space="preserve"> magistrate </w:t>
      </w:r>
      <w:r w:rsidRPr="00471D83">
        <w:rPr>
          <w:strike/>
        </w:rPr>
        <w:t>shall</w:t>
      </w:r>
      <w:r>
        <w:t xml:space="preserve"> </w:t>
      </w:r>
      <w:r>
        <w:rPr>
          <w:u w:val="single"/>
        </w:rPr>
        <w:t>does not</w:t>
      </w:r>
      <w:r w:rsidRPr="007516BA">
        <w:t xml:space="preserve"> have </w:t>
      </w:r>
      <w:r w:rsidRPr="002A3820">
        <w:rPr>
          <w:strike/>
        </w:rPr>
        <w:t>cognizance</w:t>
      </w:r>
      <w:r>
        <w:t xml:space="preserve"> </w:t>
      </w:r>
      <w:r>
        <w:rPr>
          <w:u w:val="single"/>
        </w:rPr>
        <w:t>jurisdiction</w:t>
      </w:r>
      <w:r w:rsidRPr="007516BA">
        <w:t xml:space="preserve"> of a civil action: </w:t>
      </w: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w:t>
      </w:r>
      <w:r w:rsidRPr="007516BA">
        <w:t xml:space="preserve"> which the State is a party, except an action for a penalty </w:t>
      </w:r>
      <w:r w:rsidRPr="005440B8">
        <w:rPr>
          <w:strike/>
        </w:rPr>
        <w:t>and</w:t>
      </w:r>
      <w:r w:rsidRPr="007516BA">
        <w:t xml:space="preserve"> not exceeding one hundred dollars</w:t>
      </w:r>
      <w:r>
        <w:t xml:space="preserve"> </w:t>
      </w:r>
      <w:r>
        <w:rPr>
          <w:u w:val="single"/>
        </w:rPr>
        <w:t>or an action seeking damages of five thousand dollars or less brought pursuant to the Tort Claims Act, Chapter 78, Title 15</w:t>
      </w:r>
      <w:r w:rsidRPr="007516BA">
        <w:t xml:space="preserve">; or </w:t>
      </w:r>
    </w:p>
    <w:p w:rsidR="00031ABB" w:rsidRPr="007516BA"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7516BA">
        <w:t xml:space="preserve">hen the title to real property shall come in question, except as provided in Article 11 </w:t>
      </w:r>
      <w:r w:rsidRPr="002A3820">
        <w:rPr>
          <w:strike/>
        </w:rPr>
        <w:t>of this chapter</w:t>
      </w:r>
      <w:r>
        <w:t>.”</w:t>
      </w:r>
    </w:p>
    <w:p w:rsidR="00031ABB" w:rsidRPr="00DE5D74" w:rsidRDefault="00031ABB" w:rsidP="0003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C04" w:rsidRDefault="00031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D74">
        <w:rPr>
          <w:color w:val="000000" w:themeColor="text1"/>
          <w:u w:color="000000" w:themeColor="text1"/>
        </w:rPr>
        <w:t>SECTION</w:t>
      </w:r>
      <w:r w:rsidRPr="00DE5D74">
        <w:rPr>
          <w:color w:val="000000" w:themeColor="text1"/>
          <w:u w:color="000000" w:themeColor="text1"/>
        </w:rPr>
        <w:tab/>
      </w:r>
      <w:r>
        <w:rPr>
          <w:color w:val="000000" w:themeColor="text1"/>
          <w:u w:color="000000" w:themeColor="text1"/>
        </w:rPr>
        <w:t>4</w:t>
      </w:r>
      <w:r w:rsidRPr="00DE5D74">
        <w:rPr>
          <w:color w:val="000000" w:themeColor="text1"/>
          <w:u w:color="000000" w:themeColor="text1"/>
        </w:rPr>
        <w:t>.</w:t>
      </w:r>
      <w:r w:rsidRPr="00DE5D74">
        <w:rPr>
          <w:color w:val="000000" w:themeColor="text1"/>
          <w:u w:color="000000" w:themeColor="text1"/>
        </w:rPr>
        <w:tab/>
        <w:t>This act takes effect upon approval by the Governor.</w:t>
      </w:r>
    </w:p>
    <w:p w:rsidR="001D00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32D" w:rsidRDefault="00C1632D" w:rsidP="00C1632D">
      <w:pPr>
        <w:suppressAutoHyphens/>
      </w:pPr>
    </w:p>
    <w:sectPr w:rsidR="00C1632D" w:rsidSect="00C16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C04" w:rsidRDefault="007A3C04" w:rsidP="009F0C77">
      <w:r>
        <w:separator/>
      </w:r>
    </w:p>
  </w:endnote>
  <w:endnote w:type="continuationSeparator" w:id="0">
    <w:p w:rsidR="007A3C04" w:rsidRDefault="007A3C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346143-75CE-449A-BA98-C2E5893BE405}"/>
    <w:embedBold r:id="rId2" w:fontKey="{1FB8990C-1B50-44EB-8662-C768CCC153A8}"/>
  </w:font>
  <w:font w:name="Calibri">
    <w:panose1 w:val="020F0502020204030204"/>
    <w:charset w:val="00"/>
    <w:family w:val="swiss"/>
    <w:pitch w:val="variable"/>
    <w:sig w:usb0="E10002FF" w:usb1="4000ACFF" w:usb2="00000009" w:usb3="00000000" w:csb0="0000019F" w:csb1="00000000"/>
    <w:embedRegular r:id="rId3" w:fontKey="{2F2080E3-62DD-4F93-B957-127617150CAA}"/>
  </w:font>
  <w:font w:name="Segoe UI">
    <w:panose1 w:val="020B0502040204020203"/>
    <w:charset w:val="00"/>
    <w:family w:val="swiss"/>
    <w:pitch w:val="variable"/>
    <w:sig w:usb0="E10022FF" w:usb1="C000E47F" w:usb2="00000029" w:usb3="00000000" w:csb0="000001DF" w:csb1="00000000"/>
    <w:embedRegular r:id="rId4" w:fontKey="{19EEDD96-7BDB-4FC3-A4D7-BF701980BFA1}"/>
  </w:font>
  <w:font w:name="Cambria">
    <w:panose1 w:val="02040503050406030204"/>
    <w:charset w:val="00"/>
    <w:family w:val="roman"/>
    <w:pitch w:val="variable"/>
    <w:sig w:usb0="E00002FF" w:usb1="400004FF" w:usb2="00000000" w:usb3="00000000" w:csb0="0000019F" w:csb1="00000000"/>
    <w:embedRegular r:id="rId5" w:fontKey="{EC73D722-7879-453C-B049-3B9FFE832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0B6" w:rsidRPr="00C1632D" w:rsidRDefault="00C1632D" w:rsidP="00C1632D">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C04" w:rsidRDefault="007A3C04" w:rsidP="009F0C77">
      <w:r>
        <w:separator/>
      </w:r>
    </w:p>
  </w:footnote>
  <w:footnote w:type="continuationSeparator" w:id="0">
    <w:p w:rsidR="007A3C04" w:rsidRDefault="007A3C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4AHB15"/>
    <w:docVar w:name="CoverBillType" w:val="b"/>
    <w:docVar w:name="docpath" w:val="L:\Council\bills\MS\7064AHB15.DOCX"/>
    <w:docVar w:name="dvBillNumber" w:val="3405"/>
    <w:docVar w:name="dvBillNumberPrefix" w:val="H. "/>
    <w:docVar w:name="dvOriginalBody" w:val="House"/>
    <w:docVar w:name="dvSteno" w:val="MS"/>
    <w:docVar w:name="NameofBody" w:val="h"/>
    <w:docVar w:name="vgroup2" w:val="Council"/>
  </w:docVars>
  <w:rsids>
    <w:rsidRoot w:val="007A3C04"/>
    <w:rsid w:val="00011869"/>
    <w:rsid w:val="00015CD6"/>
    <w:rsid w:val="00031ABB"/>
    <w:rsid w:val="000E1785"/>
    <w:rsid w:val="000F40FA"/>
    <w:rsid w:val="001046D6"/>
    <w:rsid w:val="0010776B"/>
    <w:rsid w:val="00133E66"/>
    <w:rsid w:val="001435A3"/>
    <w:rsid w:val="00146ED3"/>
    <w:rsid w:val="00151044"/>
    <w:rsid w:val="001D00B6"/>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3C0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5325"/>
    <w:rsid w:val="00BE3C22"/>
    <w:rsid w:val="00C0345E"/>
    <w:rsid w:val="00C1632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F383CB-8F10-4F1E-AF63-26F5B55D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A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A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C085A-CA8B-4DD5-AFCF-065D9185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526</Words>
  <Characters>2641</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3405 Text of Previous Version (Jan. 22, 2015) - South Carolina Legislature Online</dc:title>
  <dc:creator>MarthaSanders</dc:creator>
  <cp:lastModifiedBy>N Cumfer</cp:lastModifiedBy>
  <cp:revision>2</cp:revision>
  <cp:lastPrinted>2015-01-15T15:51:00Z</cp:lastPrinted>
  <dcterms:created xsi:type="dcterms:W3CDTF">2015-01-22T16:11:00Z</dcterms:created>
  <dcterms:modified xsi:type="dcterms:W3CDTF">2015-01-22T16:11:00Z</dcterms:modified>
</cp:coreProperties>
</file>