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3D8"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1F91" w:rsidRP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Pr="00561F91" w:rsidRDefault="00561F91" w:rsidP="00561F91">
      <w:pPr>
        <w:tabs>
          <w:tab w:val="right" w:pos="5933"/>
        </w:tabs>
        <w:suppressAutoHyphens/>
      </w:pPr>
      <w:r>
        <w:tab/>
      </w:r>
      <w:r>
        <w:rPr>
          <w:b/>
          <w:sz w:val="36"/>
        </w:rPr>
        <w:t>H. 3725</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Quinn, Lowe, Jordan and W.J. McLeod</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793398">
      <w:pPr>
        <w:tabs>
          <w:tab w:val="right" w:pos="5933"/>
        </w:tabs>
        <w:suppressAutoHyphens/>
      </w:pPr>
      <w:r>
        <w:t>S. Printed 4/28/15--H.</w:t>
      </w:r>
      <w:r w:rsidR="00793398">
        <w:tab/>
        <w:t>[SEC 4/29/15 5:00 PM]</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2015.</w:t>
      </w:r>
    </w:p>
    <w:p w:rsidR="00561F91" w:rsidRP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1F91" w:rsidSect="00E253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E5F" w:rsidRDefault="008E7E5F"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2750C">
        <w:rPr>
          <w:color w:val="000000" w:themeColor="text1"/>
          <w:u w:color="000000" w:themeColor="text1"/>
        </w:rPr>
        <w:t>TO 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CODE OF LAWS OF SOUTH CAROLINA, 1976, RELATING TO </w:t>
      </w:r>
      <w:r w:rsidR="007947A1">
        <w:rPr>
          <w:color w:val="000000" w:themeColor="text1"/>
          <w:u w:color="000000" w:themeColor="text1"/>
        </w:rPr>
        <w:t xml:space="preserve">DEFINITIONS IN REGARD TO THE </w:t>
      </w:r>
      <w:r w:rsidRPr="0032750C">
        <w:rPr>
          <w:color w:val="000000" w:themeColor="text1"/>
          <w:u w:color="000000" w:themeColor="text1"/>
        </w:rPr>
        <w:t>SOUTH CAROLINA ABANDONED BUILDINGS</w:t>
      </w:r>
      <w:r>
        <w:rPr>
          <w:color w:val="000000" w:themeColor="text1"/>
          <w:u w:color="000000" w:themeColor="text1"/>
        </w:rPr>
        <w:t xml:space="preserve"> REVITALIZATION </w:t>
      </w:r>
      <w:r w:rsidR="007947A1">
        <w:rPr>
          <w:color w:val="000000" w:themeColor="text1"/>
          <w:u w:color="000000" w:themeColor="text1"/>
        </w:rPr>
        <w:t>ACT</w:t>
      </w:r>
      <w:r w:rsidRPr="0032750C">
        <w:rPr>
          <w:color w:val="000000" w:themeColor="text1"/>
          <w:u w:color="000000" w:themeColor="text1"/>
        </w:rPr>
        <w:t xml:space="preserve">, SO AS </w:t>
      </w:r>
      <w:r w:rsidR="00D709C8">
        <w:rPr>
          <w:color w:val="000000" w:themeColor="text1"/>
          <w:u w:color="000000" w:themeColor="text1"/>
        </w:rPr>
        <w:t>TO ADD THE DEFINITION OF “STATE</w:t>
      </w:r>
      <w:r w:rsidR="00D6625C">
        <w:rPr>
          <w:color w:val="000000" w:themeColor="text1"/>
          <w:u w:color="000000" w:themeColor="text1"/>
        </w:rPr>
        <w:noBreakHyphen/>
      </w:r>
      <w:r w:rsidRPr="0032750C">
        <w:rPr>
          <w:color w:val="000000" w:themeColor="text1"/>
          <w:u w:color="000000" w:themeColor="text1"/>
        </w:rPr>
        <w:t xml:space="preserve">OWNED ABANDONED BUILDINGS”; </w:t>
      </w:r>
      <w:r w:rsidR="00D709C8">
        <w:rPr>
          <w:color w:val="000000" w:themeColor="text1"/>
          <w:u w:color="000000" w:themeColor="text1"/>
        </w:rPr>
        <w:t xml:space="preserve">TO </w:t>
      </w:r>
      <w:r w:rsidRPr="0032750C">
        <w:rPr>
          <w:color w:val="000000" w:themeColor="text1"/>
          <w:u w:color="000000" w:themeColor="text1"/>
        </w:rPr>
        <w:t>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140, RELATING TO THE ELIGIBILITY OF A TAXPAYER TO RECEIVE A TAX CREDIT FOR REHABILITATING AN ABANDONED BUILDING, SO AS TO PROVIDE </w:t>
      </w:r>
      <w:r w:rsidR="009D40A1">
        <w:rPr>
          <w:color w:val="000000" w:themeColor="text1"/>
          <w:u w:color="000000" w:themeColor="text1"/>
        </w:rPr>
        <w:t>IF</w:t>
      </w:r>
      <w:r w:rsidRPr="0032750C">
        <w:rPr>
          <w:color w:val="000000" w:themeColor="text1"/>
          <w:u w:color="000000" w:themeColor="text1"/>
        </w:rPr>
        <w:t xml:space="preserve"> A TAX CREDIT IS EARNED BY A TAXPAYER WHO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w:t>
      </w:r>
      <w:r w:rsidR="009D40A1">
        <w:rPr>
          <w:color w:val="000000" w:themeColor="text1"/>
          <w:u w:color="000000" w:themeColor="text1"/>
        </w:rPr>
        <w:t xml:space="preserve"> THE CREDIT MUST BE CLAIMED OVER A TWO</w:t>
      </w:r>
      <w:r w:rsidR="00D6625C">
        <w:rPr>
          <w:color w:val="000000" w:themeColor="text1"/>
          <w:u w:color="000000" w:themeColor="text1"/>
        </w:rPr>
        <w:noBreakHyphen/>
      </w:r>
      <w:r w:rsidR="009D40A1">
        <w:rPr>
          <w:color w:val="000000" w:themeColor="text1"/>
          <w:u w:color="000000" w:themeColor="text1"/>
        </w:rPr>
        <w:t>YEAR PERIOD</w:t>
      </w:r>
      <w:r w:rsidRPr="0032750C">
        <w:rPr>
          <w:color w:val="000000" w:themeColor="text1"/>
          <w:u w:color="000000" w:themeColor="text1"/>
        </w:rPr>
        <w:t xml:space="preserve"> AND </w:t>
      </w:r>
      <w:r w:rsidR="009D40A1">
        <w:rPr>
          <w:color w:val="000000" w:themeColor="text1"/>
          <w:u w:color="000000" w:themeColor="text1"/>
        </w:rPr>
        <w:t xml:space="preserve">TO </w:t>
      </w:r>
      <w:r w:rsidRPr="0032750C">
        <w:rPr>
          <w:color w:val="000000" w:themeColor="text1"/>
          <w:u w:color="000000" w:themeColor="text1"/>
        </w:rPr>
        <w:t xml:space="preserve">PROVIDE REQUIREMENTS FOR A TAXPAYER WHO SELLS A BUILDING SITE; </w:t>
      </w:r>
      <w:r w:rsidR="00D6625C">
        <w:rPr>
          <w:color w:val="000000" w:themeColor="text1"/>
          <w:u w:color="000000" w:themeColor="text1"/>
        </w:rPr>
        <w:t>TO</w:t>
      </w:r>
      <w:r w:rsidRPr="0032750C">
        <w:rPr>
          <w:color w:val="000000" w:themeColor="text1"/>
          <w:u w:color="000000" w:themeColor="text1"/>
        </w:rPr>
        <w:t xml:space="preserve">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3535, RELATING TO INCOME TAX CREDITS FOR MAKING QUALIFIED REHABILITATION EXPENDITURES FOR A CERTIFIED HISTORIC STRUCTURE, SO AS TO PROVIDE AN ADDITIONAL INCOME TAX CREDIT OPTION FOR TAXPAYERS, TO PROVIDE ADDITIONAL REQUIREMENTS FOR WHEN A TAX CREDIT MAY BE TAKEN WHEN A TAXPAYER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AND TO PROVIDE REQUIREMENTS FOR TAX CREDITS EARNED BY A PASS</w:t>
      </w:r>
      <w:r w:rsidR="00D6625C">
        <w:rPr>
          <w:color w:val="000000" w:themeColor="text1"/>
          <w:u w:color="000000" w:themeColor="text1"/>
        </w:rPr>
        <w:noBreakHyphen/>
      </w:r>
      <w:r w:rsidRPr="0032750C">
        <w:rPr>
          <w:color w:val="000000" w:themeColor="text1"/>
          <w:u w:color="000000" w:themeColor="text1"/>
        </w:rPr>
        <w:t>THROUGH ENTITY; BY ADDING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160 SO AS TO PROVIDE REQUIREMENTS FOR A CERTIFICATION OF THE ABANDONED BUILDING SITE; BY ADDING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3586 SO AS TO ALLOW A TAX CREDIT TO A TAXPAYER WHO CONSTRUCTS, PURCHASES, OR LEASES A NONRESIDENTIAL SOLAR ENERGY SYSTEM; AND TO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3587, RELATING TO THE PURCHASE AND INSTALLATION OF SOLAR ENERGY SYSTEMS FOR HEATING WATER, SPACE </w:t>
      </w:r>
      <w:r w:rsidRPr="0032750C">
        <w:rPr>
          <w:color w:val="000000" w:themeColor="text1"/>
          <w:u w:color="000000" w:themeColor="text1"/>
        </w:rPr>
        <w:lastRenderedPageBreak/>
        <w:t xml:space="preserve">HEATING, AIR COOLING, OR GENERATING ELECTRICITY, SO AS TO PROVIDE THAT THE CREDIT IS ALLOWED WITHOUT REGARD TO WHETHER THE TAXPAYER OCCUPIES THE INSTALLATION SITE. </w:t>
      </w:r>
      <w:bookmarkEnd w:id="1"/>
    </w:p>
    <w:p w:rsidR="00B22B4F" w:rsidRDefault="00561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561F91" w:rsidRDefault="00561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1.</w:t>
      </w:r>
      <w:r w:rsidRPr="007048BB">
        <w:tab/>
        <w:t>Section 12</w:t>
      </w:r>
      <w:r w:rsidRPr="007048BB">
        <w:noBreakHyphen/>
        <w:t>6</w:t>
      </w:r>
      <w:r w:rsidRPr="007048BB">
        <w:noBreakHyphen/>
        <w:t>3535 of the 1976 Code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w:t>
      </w:r>
      <w:r w:rsidRPr="007048BB">
        <w:noBreakHyphen/>
        <w:t>3535.</w:t>
      </w:r>
      <w:r w:rsidRPr="007048BB">
        <w:tab/>
        <w:t>(A)</w:t>
      </w:r>
      <w:r w:rsidRPr="007048BB">
        <w:rPr>
          <w:u w:val="single"/>
        </w:rPr>
        <w:t>(1)</w:t>
      </w:r>
      <w:r w:rsidRPr="007048BB">
        <w:tab/>
        <w:t xml:space="preserve">A taxpayer who is allowed a federal income tax credit pursuant to Section 47 of the Internal Revenue Code for making qualified rehabilitation expenditures for a certified historic structure located in this State is allowed to claim a credit against </w:t>
      </w:r>
      <w:r w:rsidRPr="007048BB">
        <w:rPr>
          <w:u w:val="single"/>
        </w:rPr>
        <w:t>a combination of</w:t>
      </w:r>
      <w:r w:rsidRPr="007048BB">
        <w:t xml:space="preserve"> income taxes and license fees imposed by this title. For the purposes of this section, ‘qualified rehabilitation expenditures’ and ‘certified historic structure</w:t>
      </w:r>
      <w:r w:rsidR="00793398">
        <w:t>s</w:t>
      </w:r>
      <w:r w:rsidRPr="007048BB">
        <w:t xml:space="preserve"> are defined as provided in the Internal Revenue Code Section 47 and the applicable treasury regulations.  </w:t>
      </w:r>
      <w:r w:rsidRPr="007048BB">
        <w:rPr>
          <w:u w:val="single"/>
        </w:rPr>
        <w:t>Except as provided in subsection (A)(2),</w:t>
      </w:r>
      <w:r w:rsidRPr="007048BB">
        <w:t xml:space="preserve"> </w:t>
      </w:r>
      <w:r w:rsidRPr="007048BB">
        <w:rPr>
          <w:strike/>
        </w:rPr>
        <w:t>The</w:t>
      </w:r>
      <w:r w:rsidRPr="007048BB">
        <w:t xml:space="preserve"> </w:t>
      </w:r>
      <w:r w:rsidRPr="007048BB">
        <w:rPr>
          <w:u w:val="single"/>
        </w:rPr>
        <w:t>the</w:t>
      </w:r>
      <w:r w:rsidRPr="007048BB">
        <w:t xml:space="preserv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048BB">
        <w:tab/>
      </w:r>
      <w:r w:rsidRPr="007048BB">
        <w:rPr>
          <w:u w:val="single"/>
        </w:rPr>
        <w:t>(2)</w:t>
      </w:r>
      <w:r w:rsidRPr="007048BB">
        <w:tab/>
      </w:r>
      <w:r w:rsidRPr="007048BB">
        <w:rPr>
          <w:u w:val="single"/>
        </w:rPr>
        <w:t>A taxpayer may elect a twenty</w:t>
      </w:r>
      <w:r w:rsidRPr="007048BB">
        <w:rPr>
          <w:u w:val="single"/>
        </w:rPr>
        <w:noBreakHyphen/>
        <w:t>five percent tax credit in lieu of the ten percent tax credit, not to exceed one million dollars for each certified historic structure.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Pr="007048BB">
        <w:noBreakHyphen/>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w:t>
      </w:r>
      <w:r w:rsidRPr="007048BB">
        <w:lastRenderedPageBreak/>
        <w:t>taxpayer filing an electronic return shall keep a copy of the certification with his tax records.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For the purposes of subsections (B) through (F):</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‘Certified historic residential structure’ means an owner</w:t>
      </w:r>
      <w:r w:rsidRPr="007048BB">
        <w:noBreakHyphen/>
        <w:t>occupied residence that is: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listed individually in the National Register of Historic Places;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considered by the State Historic Preservation Officer to contribute to the historic significance of a National Register Historic District;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considered by the State Historic Preservation Officer to meet the criteria for individual listing in the National Register of Historic Places;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(d)</w:t>
      </w:r>
      <w:r w:rsidRPr="007048BB">
        <w:tab/>
        <w:t>an outbuilding of an otherwise eligible property considered by the State Historic Preservation Officer to contribute to the historic significance of the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‘Certified rehabilitation’ means repairs or alterations consistent with the Secretary of the Interior’s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Pr="007048BB">
        <w:noBreakHyphen/>
        <w:t>six</w:t>
      </w:r>
      <w:r w:rsidRPr="007048BB">
        <w:noBreakHyphen/>
        <w:t>month period, exceed fifteen thousand dollars. A taxpayer shall not take more than one credit on the same certified historic residential structure within ten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w:t>
      </w:r>
      <w:r w:rsidRPr="007048BB">
        <w:tab/>
        <w:t>‘Rehabilitation expenses’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Pr="007048BB">
        <w:noBreakHyphen/>
        <w:t>conditioning, or ventilating systems, repairs or rehabilitation of electrical or plumbing systems exclusive of new electrical appliances and electrical or plumbing fixtures, and architectural and engineering fees.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 xml:space="preserve">‘Rehabilitation expenses’ do not include the cost of acquiring or marketing the property, the cost of new construction beyond the </w:t>
      </w:r>
      <w:r w:rsidRPr="007048BB">
        <w:lastRenderedPageBreak/>
        <w:t>volume of the existing certified historic residential structure, the value of an owner’s personal labor, or the cost of personal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‘State Historic Preservation Officer’ means the Director of the Department of Archives and History or the director’s designee who administers the historic preservation programs within the State.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t>‘Owner</w:t>
      </w:r>
      <w:r w:rsidRPr="007048BB">
        <w:noBreakHyphen/>
        <w:t>occupied residence’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actively used in a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held for the production of income;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held for sales or disposition in the ordinary course of the taxpayer’s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(C)(1)</w:t>
      </w:r>
      <w:r w:rsidRPr="007048BB">
        <w:tab/>
        <w:t xml:space="preserve">The entire credit may not be taken for the taxable year in which the property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year in which the property is placed in service.  ‘Placed in service’ means the rehabilitation is completed and allows for the intended use. Any unused portion of any credit installment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t>(2)</w:t>
      </w:r>
      <w:r w:rsidRPr="007048BB">
        <w:tab/>
        <w:t xml:space="preserve">The credit earned pursuant to this section by an ‘S’ corporation owing corporate level income tax must be used first at the entity level. Remaining credit passes through to each shareholder in a percentage equal to each shareholder’s percentage of stock ownership.  The credit earned pursuant to this section by a general partnership, limited partnership, limited liability company, or other </w:t>
      </w:r>
      <w:r w:rsidRPr="007048BB">
        <w:rPr>
          <w:u w:val="single"/>
        </w:rPr>
        <w:t>pass</w:t>
      </w:r>
      <w:r w:rsidRPr="007048BB">
        <w:rPr>
          <w:u w:val="single"/>
        </w:rPr>
        <w:noBreakHyphen/>
        <w:t>through</w:t>
      </w:r>
      <w:r w:rsidRPr="007048BB">
        <w:t xml:space="preserve"> entity</w:t>
      </w:r>
      <w:r w:rsidRPr="007048BB">
        <w:rPr>
          <w:u w:val="single"/>
        </w:rPr>
        <w:t>, as defined in Section 12</w:t>
      </w:r>
      <w:r w:rsidRPr="007048BB">
        <w:rPr>
          <w:u w:val="single"/>
        </w:rPr>
        <w:noBreakHyphen/>
        <w:t>6</w:t>
      </w:r>
      <w:r w:rsidRPr="007048BB">
        <w:rPr>
          <w:u w:val="single"/>
        </w:rPr>
        <w:noBreakHyphen/>
        <w:t>545,</w:t>
      </w:r>
      <w:r w:rsidRPr="007048BB">
        <w:t xml:space="preserve"> </w:t>
      </w:r>
      <w:r w:rsidRPr="007048BB">
        <w:rPr>
          <w:strike/>
        </w:rPr>
        <w:t>taxed as a partnership</w:t>
      </w:r>
      <w:r w:rsidRPr="007048BB">
        <w:t xml:space="preserve"> must be passed through to its partners and may be allocated among partners, including without limitation, an allocation of the entire credit to one partner, in a manner agreed by the partners </w:t>
      </w:r>
      <w:r w:rsidRPr="007048BB">
        <w:rPr>
          <w:strike/>
        </w:rPr>
        <w:t>that is consistent with Subchapter K of the Internal Revenue Code</w:t>
      </w:r>
      <w:r w:rsidRPr="007048BB">
        <w:t>. As used in this item the term ‘partner’ means a partner, member, or owner of an interest in the pass</w:t>
      </w:r>
      <w:r w:rsidRPr="007048BB">
        <w:noBreakHyphen/>
        <w:t xml:space="preserve">through entity, as applicable.  </w:t>
      </w:r>
      <w:r w:rsidRPr="007048BB">
        <w:rPr>
          <w:u w:val="single"/>
        </w:rPr>
        <w:t>If the taxpayer makes a pass</w:t>
      </w:r>
      <w:r w:rsidRPr="007048BB">
        <w:rPr>
          <w:u w:val="single"/>
        </w:rPr>
        <w:noBreakHyphen/>
        <w:t>through election under Section 50(d) of the Internal Revenue Code, the taxpayer may elect to pass the credit claimed pursuant to this section to the tenant of the eligible structure or to retain the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(D)</w:t>
      </w:r>
      <w:r w:rsidRPr="007048BB">
        <w:tab/>
        <w:t xml:space="preserve">Additional work done by the taxpayer while the credit is being claimed, for a period of up to five years, must be consistent with the Secretary of the Interior’s Standards for Rehabilitation.  During this period the State Historic Preservation Officer may review additional work to the certified historic structure or certified </w:t>
      </w:r>
      <w:r w:rsidRPr="007048BB">
        <w:lastRenderedPageBreak/>
        <w:t>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(E)</w:t>
      </w:r>
      <w:r w:rsidRPr="007048BB">
        <w:tab/>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w:t>
      </w:r>
      <w:r w:rsidRPr="007048BB">
        <w:tab/>
        <w:t>A taxpayer may appeal a decision of the State Historic Preservation Officer to a committee of the State Review Board appointed by the chairperson.”</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2.</w:t>
      </w:r>
      <w:r w:rsidRPr="007048BB">
        <w:tab/>
        <w:t>Section 12</w:t>
      </w:r>
      <w:r w:rsidRPr="007048BB">
        <w:noBreakHyphen/>
        <w:t>67</w:t>
      </w:r>
      <w:r w:rsidRPr="007048BB">
        <w:noBreakHyphen/>
        <w:t>120 of the 1976 Code, as added by Act 57 of 2013, is amended by adding an item at the end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“(8)</w:t>
      </w:r>
      <w:r w:rsidRPr="007048BB">
        <w:tab/>
        <w:t>‘State</w:t>
      </w:r>
      <w:r w:rsidRPr="007048BB">
        <w:noBreakHyphen/>
        <w:t>owned abandoned building’ means an abandoned building and its ancillary service buildings or a project consisting of one or more abandoned buildings, the aggregate size of which is greater than fifty thousand square feet, that has been abandoned for more than five years, and, prior to the taxpayer’s acquisition of such building, was most recently owned by the State, or an agency, instrumentality, or political subdivision of the State.  For purposes of this definition, the taxpayer shall include any entity under common control or common ownership with the taxpayer.”</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3.</w:t>
      </w:r>
      <w:r w:rsidRPr="007048BB">
        <w:tab/>
        <w:t>Section 12</w:t>
      </w:r>
      <w:r w:rsidRPr="007048BB">
        <w:noBreakHyphen/>
        <w:t>67</w:t>
      </w:r>
      <w:r w:rsidRPr="007048BB">
        <w:noBreakHyphen/>
        <w:t>140(A) and (B) of the 1976 Code, as added by Act 57 of 2013,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“(A)</w:t>
      </w:r>
      <w:r w:rsidRPr="007048BB">
        <w:tab/>
        <w:t>Subject to the terms and conditions of this chapter, a taxpayer who rehabilitates an abandoned building is eligible for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 xml:space="preserve">a credit against income taxes imposed pursuant to Chapter 6 and Chapter 11 of this title, corporate license fees pursuant to Chapter 20 of this title, </w:t>
      </w:r>
      <w:r w:rsidRPr="007048BB">
        <w:rPr>
          <w:strike/>
        </w:rPr>
        <w:t>or</w:t>
      </w:r>
      <w:r w:rsidRPr="007048BB">
        <w:t xml:space="preserve"> taxes on associations pursuant to Chapter 13 of this title, </w:t>
      </w:r>
      <w:r w:rsidRPr="007048BB">
        <w:rPr>
          <w:u w:val="single"/>
        </w:rPr>
        <w:t>or insurance premium taxes, including retaliatory taxes, imposed by Chapter 7, Title 38,</w:t>
      </w:r>
      <w:r w:rsidRPr="007048BB">
        <w:t xml:space="preserve"> or a combination </w:t>
      </w:r>
      <w:r w:rsidRPr="007048BB">
        <w:rPr>
          <w:strike/>
        </w:rPr>
        <w:t>thereof</w:t>
      </w:r>
      <w:r w:rsidRPr="007048BB">
        <w:t xml:space="preserve"> </w:t>
      </w:r>
      <w:r w:rsidRPr="007048BB">
        <w:rPr>
          <w:u w:val="single"/>
        </w:rPr>
        <w:t>of them</w:t>
      </w:r>
      <w:r w:rsidRPr="007048BB">
        <w:t>;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a credit against real property taxes levied by local taxing entities.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lastRenderedPageBreak/>
        <w:tab/>
        <w:t>(B)</w:t>
      </w:r>
      <w:r w:rsidRPr="007048BB">
        <w:tab/>
        <w:t>If the taxpayer elects to receive the credit pursuant to subsection (A)(1), the following provisions apply: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The amount of the credit is equal to twenty</w:t>
      </w:r>
      <w:r w:rsidRPr="007048BB">
        <w:noBreakHyphen/>
        <w:t>five percent of the actual rehabilitation expenses incurred at the building site if the actual rehabilitation expenses incurred in rehabilitating the building site are between eighty percent and one hundred twenty</w:t>
      </w:r>
      <w:r w:rsidRPr="007048BB">
        <w:noBreakHyphen/>
        <w:t>five percent of the estimated rehabilitation expenses set forth in the Notice of Intent to Rehabilitate. If the actual rehabilitation expenses exceed one hundred twenty</w:t>
      </w:r>
      <w:r w:rsidRPr="007048BB">
        <w:noBreakHyphen/>
        <w:t>five percent of the estimated expenses set forth in the Notice of Intent to Rehabilitate, the taxpayer qualifies for the credit based on one hundred twenty</w:t>
      </w:r>
      <w:r w:rsidRPr="007048BB">
        <w:noBreakHyphen/>
        <w:t>five percent of the estimated expenses as opposed to the actual expenses it incurred in rehabilitating the building site. If the actual rehabilitation expenses are below eighty percent of the estimated rehabilitation expenses, the credit is not allowed.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(3)(a)</w:t>
      </w:r>
      <w:r w:rsidRPr="007048BB">
        <w:tab/>
        <w:t xml:space="preserve">The entire credit is earned in the taxable year in which the applicable phase or portion of the building site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tax year in which the applicable phase or portion of the building site is placed in service.  Unused credit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r>
      <w:r w:rsidRPr="007048BB">
        <w:tab/>
        <w:t>(b)</w:t>
      </w:r>
      <w:r w:rsidRPr="007048BB">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r>
      <w:r w:rsidRPr="007048BB">
        <w:rPr>
          <w:strike/>
        </w:rPr>
        <w:t>The credit allowed by this subsection is limited in use to fifty percent of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(a)</w:t>
      </w:r>
      <w:r w:rsidRPr="007048BB">
        <w:tab/>
      </w:r>
      <w:r w:rsidRPr="007048BB">
        <w:rPr>
          <w:strike/>
        </w:rPr>
        <w:t xml:space="preserve">the taxpayer’s income tax liability for the taxable year if the taxpayer claims the credit allowed by this section as a credit against income tax imposed pursuant to Chapter 6 or Chapter 11 of </w:t>
      </w:r>
      <w:r w:rsidRPr="007048BB">
        <w:rPr>
          <w:strike/>
        </w:rPr>
        <w:lastRenderedPageBreak/>
        <w:t>this title, or taxes on associations pursuant to Chapter 13 of this title, or both;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(b)</w:t>
      </w:r>
      <w:r w:rsidRPr="007048BB">
        <w:tab/>
      </w:r>
      <w:r w:rsidRPr="007048BB">
        <w:rPr>
          <w:strike/>
        </w:rPr>
        <w:t>the taxpayer’s corporate license fees for the taxable year if the taxpayer claims the credit allowed by this section as a credit against license fees imposed pursuant to Chapter 20.</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(6)</w:t>
      </w:r>
      <w:r w:rsidRPr="007048BB">
        <w:t>(a)</w:t>
      </w:r>
      <w:r w:rsidRPr="007048BB">
        <w:tab/>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To the extent that the taxpayer transfers the credit, the taxpayer shall notify the department of the transfer in the manner the department prescribes.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(7)</w:t>
      </w:r>
      <w:r w:rsidRPr="007048BB">
        <w:rPr>
          <w:u w:val="single"/>
        </w:rPr>
        <w:t>(6)</w:t>
      </w:r>
      <w:r w:rsidRPr="007048BB">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4.</w:t>
      </w:r>
      <w:r w:rsidRPr="007048BB">
        <w:tab/>
        <w:t>Chapter 67, Title 12 of the 1976 Code is amended by adding:</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67</w:t>
      </w:r>
      <w:r w:rsidRPr="007048BB">
        <w:noBreakHyphen/>
        <w:t>160.</w:t>
      </w:r>
      <w:r w:rsidRPr="007048BB">
        <w:tab/>
        <w:t>(A)</w:t>
      </w:r>
      <w:r w:rsidRPr="007048BB">
        <w:tab/>
        <w:t>Notwithstanding any other provision of law, 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abandoned building site was an abandoned building as defined in Section 12</w:t>
      </w:r>
      <w:r w:rsidRPr="007048BB">
        <w:noBreakHyphen/>
        <w:t>67</w:t>
      </w:r>
      <w:r w:rsidRPr="007048BB">
        <w:noBreakHyphen/>
        <w:t>120(1);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abandoned building site is consistent with Section 12</w:t>
      </w:r>
      <w:r w:rsidRPr="007048BB">
        <w:noBreakHyphen/>
        <w:t>67</w:t>
      </w:r>
      <w:r w:rsidRPr="007048BB">
        <w:noBreakHyphen/>
        <w:t>120(2).</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The taxpayer may apply to the municipality or county in which the state</w:t>
      </w:r>
      <w:r w:rsidRPr="007048BB">
        <w:noBreakHyphen/>
        <w:t>owned abandoned building is located for a certification of the state</w:t>
      </w:r>
      <w:r w:rsidRPr="007048BB">
        <w:noBreakHyphen/>
        <w:t xml:space="preserve">owned abandoned building site made by </w:t>
      </w:r>
      <w:r w:rsidRPr="007048BB">
        <w:lastRenderedPageBreak/>
        <w:t>ordinance or binding resolution of the governing body of the municipality or county.  The certification must include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state</w:t>
      </w:r>
      <w:r w:rsidRPr="007048BB">
        <w:noBreakHyphen/>
        <w:t>owned abandoned building site was a state</w:t>
      </w:r>
      <w:r w:rsidRPr="007048BB">
        <w:noBreakHyphen/>
        <w:t>owned abandoned building as defined in Section 12</w:t>
      </w:r>
      <w:r w:rsidRPr="007048BB">
        <w:noBreakHyphen/>
        <w:t>67</w:t>
      </w:r>
      <w:r w:rsidRPr="007048BB">
        <w:noBreakHyphen/>
        <w:t>120(8);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state</w:t>
      </w:r>
      <w:r w:rsidRPr="007048BB">
        <w:noBreakHyphen/>
        <w:t>owned abandoned building site is consistent with Section 12</w:t>
      </w:r>
      <w:r w:rsidRPr="007048BB">
        <w:noBreakHyphen/>
        <w:t>67</w:t>
      </w:r>
      <w:r w:rsidRPr="007048BB">
        <w:noBreakHyphen/>
        <w:t>120(8).</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w:t>
      </w:r>
      <w:r w:rsidRPr="007048BB">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8BB">
        <w:t>SECTION</w:t>
      </w:r>
      <w:r w:rsidRPr="007048BB">
        <w:tab/>
        <w:t>5.</w:t>
      </w:r>
      <w:r w:rsidRPr="007048BB">
        <w:tab/>
        <w:t xml:space="preserve">This act takes effect upon approval by the Governor.  </w:t>
      </w:r>
    </w:p>
    <w:p w:rsidR="004E520F" w:rsidRDefault="00D6625C" w:rsidP="00A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7AF" w:rsidRDefault="001B47AF" w:rsidP="001B47AF">
      <w:pPr>
        <w:suppressAutoHyphens/>
      </w:pPr>
    </w:p>
    <w:sectPr w:rsidR="001B47AF" w:rsidSect="00E253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06" w:rsidRDefault="008B2D06" w:rsidP="009F0C77">
      <w:r>
        <w:separator/>
      </w:r>
    </w:p>
  </w:endnote>
  <w:endnote w:type="continuationSeparator" w:id="0">
    <w:p w:rsidR="008B2D06" w:rsidRDefault="008B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293CDB-0C2D-4143-B93D-EB154A7ABD36}"/>
    <w:embedBold r:id="rId2" w:fontKey="{3E9A9151-07D6-409C-B140-D01B53B14CC0}"/>
  </w:font>
  <w:font w:name="Calibri">
    <w:panose1 w:val="020F0502020204030204"/>
    <w:charset w:val="00"/>
    <w:family w:val="swiss"/>
    <w:pitch w:val="variable"/>
    <w:sig w:usb0="E10002FF" w:usb1="4000ACFF" w:usb2="00000009" w:usb3="00000000" w:csb0="0000019F" w:csb1="00000000"/>
    <w:embedRegular r:id="rId3" w:fontKey="{D28564B3-D17D-41C7-B40C-8C5CF47A3F02}"/>
  </w:font>
  <w:font w:name="Segoe UI">
    <w:panose1 w:val="020B0502040204020203"/>
    <w:charset w:val="00"/>
    <w:family w:val="swiss"/>
    <w:pitch w:val="variable"/>
    <w:sig w:usb0="E10022FF" w:usb1="C000E47F" w:usb2="00000029" w:usb3="00000000" w:csb0="000001DF" w:csb1="00000000"/>
    <w:embedRegular r:id="rId4" w:fontKey="{49BED818-7C3C-4050-9811-B44C05436B3F}"/>
  </w:font>
  <w:font w:name="Cambria">
    <w:panose1 w:val="02040503050406030204"/>
    <w:charset w:val="00"/>
    <w:family w:val="roman"/>
    <w:pitch w:val="variable"/>
    <w:sig w:usb0="E00002FF" w:usb1="400004FF" w:usb2="00000000" w:usb3="00000000" w:csb0="0000019F" w:csb1="00000000"/>
    <w:embedRegular r:id="rId5" w:fontKey="{8A479442-15CF-4C52-B7F9-DD3FA825E3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20F" w:rsidRPr="008E7E5F" w:rsidRDefault="008E7E5F" w:rsidP="008E7E5F">
    <w:pPr>
      <w:pStyle w:val="Footer"/>
      <w:tabs>
        <w:tab w:val="clear" w:pos="4680"/>
        <w:tab w:val="clear" w:pos="9360"/>
        <w:tab w:val="center" w:pos="2995"/>
      </w:tabs>
      <w:spacing w:before="120"/>
    </w:pPr>
    <w:r>
      <w:t>[3725</w:t>
    </w:r>
    <w:r w:rsidR="00E253D8">
      <w:t>-</w:t>
    </w:r>
    <w:r w:rsidR="00E253D8">
      <w:fldChar w:fldCharType="begin"/>
    </w:r>
    <w:r w:rsidR="00E253D8">
      <w:instrText xml:space="preserve"> PAGE  \* MERGEFORMAT </w:instrText>
    </w:r>
    <w:r w:rsidR="00E253D8">
      <w:fldChar w:fldCharType="separate"/>
    </w:r>
    <w:r w:rsidR="001B47AF">
      <w:rPr>
        <w:noProof/>
      </w:rPr>
      <w:t>1</w:t>
    </w:r>
    <w:r w:rsidR="00E253D8">
      <w:fldChar w:fldCharType="end"/>
    </w:r>
    <w:r w:rsidR="00E253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D8" w:rsidRPr="008E7E5F" w:rsidRDefault="00E253D8" w:rsidP="008E7E5F">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1B47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06" w:rsidRDefault="008B2D06" w:rsidP="009F0C77">
      <w:r>
        <w:separator/>
      </w:r>
    </w:p>
  </w:footnote>
  <w:footnote w:type="continuationSeparator" w:id="0">
    <w:p w:rsidR="008B2D06" w:rsidRDefault="008B2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5"/>
    <w:docVar w:name="CoverBillType" w:val="b"/>
    <w:docVar w:name="docpath" w:val="L:\Council\bills\DKA\3068SA15.DOCX"/>
    <w:docVar w:name="dvBillNumber" w:val="3725"/>
    <w:docVar w:name="dvBillNumberPrefix" w:val="H. "/>
    <w:docVar w:name="dvOriginalBody" w:val="House"/>
    <w:docVar w:name="dvSteno" w:val="DKA"/>
    <w:docVar w:name="NameofBody" w:val="h"/>
    <w:docVar w:name="vgroup2" w:val="Council"/>
  </w:docVars>
  <w:rsids>
    <w:rsidRoot w:val="00CE6793"/>
    <w:rsid w:val="00011869"/>
    <w:rsid w:val="00015CD6"/>
    <w:rsid w:val="000A34B1"/>
    <w:rsid w:val="000D1DA8"/>
    <w:rsid w:val="000E1785"/>
    <w:rsid w:val="000F40FA"/>
    <w:rsid w:val="0010776B"/>
    <w:rsid w:val="00132024"/>
    <w:rsid w:val="00133E66"/>
    <w:rsid w:val="001435A3"/>
    <w:rsid w:val="00143CA1"/>
    <w:rsid w:val="00146ED3"/>
    <w:rsid w:val="00151044"/>
    <w:rsid w:val="00183A73"/>
    <w:rsid w:val="00194337"/>
    <w:rsid w:val="001B47AF"/>
    <w:rsid w:val="001D08F2"/>
    <w:rsid w:val="001D525B"/>
    <w:rsid w:val="001D7F4F"/>
    <w:rsid w:val="0020416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2186"/>
    <w:rsid w:val="004E520F"/>
    <w:rsid w:val="004E7D54"/>
    <w:rsid w:val="005273C6"/>
    <w:rsid w:val="00530A69"/>
    <w:rsid w:val="00541BDF"/>
    <w:rsid w:val="00545593"/>
    <w:rsid w:val="00560AD7"/>
    <w:rsid w:val="00561F91"/>
    <w:rsid w:val="00577C6C"/>
    <w:rsid w:val="005C2433"/>
    <w:rsid w:val="005C2FE2"/>
    <w:rsid w:val="005E2BC9"/>
    <w:rsid w:val="00605102"/>
    <w:rsid w:val="006215AA"/>
    <w:rsid w:val="00661D43"/>
    <w:rsid w:val="006913C9"/>
    <w:rsid w:val="006934DC"/>
    <w:rsid w:val="0069470D"/>
    <w:rsid w:val="00734F00"/>
    <w:rsid w:val="00793398"/>
    <w:rsid w:val="007947A1"/>
    <w:rsid w:val="007A70AE"/>
    <w:rsid w:val="008362E8"/>
    <w:rsid w:val="008A1768"/>
    <w:rsid w:val="008A252D"/>
    <w:rsid w:val="008B2D06"/>
    <w:rsid w:val="008D2791"/>
    <w:rsid w:val="008E1AC3"/>
    <w:rsid w:val="008E7E5F"/>
    <w:rsid w:val="008F0F33"/>
    <w:rsid w:val="008F4429"/>
    <w:rsid w:val="0094021A"/>
    <w:rsid w:val="0094350A"/>
    <w:rsid w:val="009710ED"/>
    <w:rsid w:val="009B44AF"/>
    <w:rsid w:val="009C6A0B"/>
    <w:rsid w:val="009D40A1"/>
    <w:rsid w:val="009F0C77"/>
    <w:rsid w:val="009F1E5F"/>
    <w:rsid w:val="009F4DD1"/>
    <w:rsid w:val="00A41684"/>
    <w:rsid w:val="00A64E80"/>
    <w:rsid w:val="00A7089B"/>
    <w:rsid w:val="00A72BCD"/>
    <w:rsid w:val="00A741D9"/>
    <w:rsid w:val="00A833AB"/>
    <w:rsid w:val="00A9741D"/>
    <w:rsid w:val="00AD4B17"/>
    <w:rsid w:val="00AE37F1"/>
    <w:rsid w:val="00B22B4F"/>
    <w:rsid w:val="00B412D4"/>
    <w:rsid w:val="00BA08D7"/>
    <w:rsid w:val="00BE3C22"/>
    <w:rsid w:val="00C00615"/>
    <w:rsid w:val="00C0345E"/>
    <w:rsid w:val="00C3483A"/>
    <w:rsid w:val="00C74E9D"/>
    <w:rsid w:val="00C82FD3"/>
    <w:rsid w:val="00C92819"/>
    <w:rsid w:val="00CC6B7B"/>
    <w:rsid w:val="00CC76CD"/>
    <w:rsid w:val="00CD2089"/>
    <w:rsid w:val="00CE6793"/>
    <w:rsid w:val="00D6625C"/>
    <w:rsid w:val="00D709C8"/>
    <w:rsid w:val="00D73A67"/>
    <w:rsid w:val="00D970A9"/>
    <w:rsid w:val="00DF3845"/>
    <w:rsid w:val="00E10871"/>
    <w:rsid w:val="00E253D8"/>
    <w:rsid w:val="00E41911"/>
    <w:rsid w:val="00E92EEF"/>
    <w:rsid w:val="00EF2368"/>
    <w:rsid w:val="00F22DD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81F2-B788-4BD9-86B1-E15B9DD7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9E6DF-6CD4-4305-9697-41879F183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35791B71.dotm</Template>
  <TotalTime>0</TotalTime>
  <Pages>9</Pages>
  <Words>2671</Words>
  <Characters>14345</Characters>
  <Application>Microsoft Office Word</Application>
  <DocSecurity>0</DocSecurity>
  <Lines>334</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3725 Text of Previous Version (Apr. 29, 2015) - South Carolina Legislature Online</dc:title>
  <dc:creator>sharonpair</dc:creator>
  <cp:lastModifiedBy>Angela Hopkins</cp:lastModifiedBy>
  <cp:revision>2</cp:revision>
  <cp:lastPrinted>2015-02-24T15:10:00Z</cp:lastPrinted>
  <dcterms:created xsi:type="dcterms:W3CDTF">2015-04-29T21:00:00Z</dcterms:created>
  <dcterms:modified xsi:type="dcterms:W3CDTF">2015-04-29T21:00:00Z</dcterms:modified>
</cp:coreProperties>
</file>