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3B05" w:rsidRP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A9" w:rsidRPr="00B375A9" w:rsidRDefault="00B375A9" w:rsidP="00B375A9">
      <w:pPr>
        <w:tabs>
          <w:tab w:val="right" w:pos="5933"/>
        </w:tabs>
        <w:suppressAutoHyphens/>
        <w:jc w:val="both"/>
        <w:rPr>
          <w:rFonts w:eastAsia="Times New Roman"/>
        </w:rPr>
      </w:pPr>
      <w:r>
        <w:rPr>
          <w:rFonts w:eastAsia="Times New Roman"/>
        </w:rPr>
        <w:tab/>
      </w:r>
      <w:r>
        <w:rPr>
          <w:rFonts w:eastAsia="Times New Roman"/>
          <w:b/>
          <w:sz w:val="36"/>
        </w:rPr>
        <w:t>S. 381</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Bright, Turner, Johnson, Young, Jackson, Grooms, Sabb, Thurmond, Massey, Allen, Sheheen, Davis, Hembree, L. Martin, Bryant, Peeler, Alexander, Lourie, Cromer, Setzler and Scott</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5/19/16--H.</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B375A9" w:rsidRP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A9" w:rsidRP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381) </w:t>
      </w:r>
      <w:r w:rsidR="00B57F1F">
        <w:rPr>
          <w:rFonts w:eastAsia="Times New Roman"/>
        </w:rPr>
        <w:t>to amend Section 8</w:t>
      </w:r>
      <w:r w:rsidR="00B57F1F">
        <w:rPr>
          <w:rFonts w:eastAsia="Times New Roman"/>
        </w:rPr>
        <w:noBreakHyphen/>
        <w:t>11</w:t>
      </w:r>
      <w:r w:rsidR="00B57F1F">
        <w:rPr>
          <w:rFonts w:eastAsia="Times New Roman"/>
        </w:rPr>
        <w:noBreakHyphen/>
        <w:t>620(A</w:t>
      </w:r>
      <w:r>
        <w:rPr>
          <w:rFonts w:eastAsia="Times New Roman"/>
        </w:rPr>
        <w:t>)(1) of the 1976 Code, relating to leave and lump</w:t>
      </w:r>
      <w:r>
        <w:rPr>
          <w:rFonts w:eastAsia="Times New Roman"/>
        </w:rPr>
        <w:noBreakHyphen/>
        <w:t>sum payments upon termination of employment, etc., respectfully</w:t>
      </w:r>
    </w:p>
    <w:p w:rsidR="00B375A9" w:rsidRP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A9" w:rsidRDefault="00B37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206A75" w:rsidRPr="00B375A9" w:rsidRDefault="00206A75"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375A9" w:rsidRP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375A9" w:rsidRPr="00570F30"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570F30">
        <w:rPr>
          <w:b/>
          <w:bCs/>
        </w:rPr>
        <w:t>Fiscal Impact Summary</w:t>
      </w:r>
    </w:p>
    <w:p w:rsidR="00B375A9" w:rsidRPr="00570F30"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570F30">
        <w:rPr>
          <w:bCs/>
        </w:rPr>
        <w:t>The bill</w:t>
      </w:r>
      <w:r>
        <w:rPr>
          <w:bCs/>
        </w:rPr>
        <w:t>, as amended,</w:t>
      </w:r>
      <w:r w:rsidRPr="00570F30">
        <w:rPr>
          <w:bCs/>
        </w:rPr>
        <w:t xml:space="preserve"> would have no expenditure impact to the </w:t>
      </w:r>
      <w:r>
        <w:rPr>
          <w:bCs/>
        </w:rPr>
        <w:t>g</w:t>
      </w:r>
      <w:r w:rsidRPr="00570F30">
        <w:rPr>
          <w:bCs/>
        </w:rPr>
        <w:t xml:space="preserve">eneral </w:t>
      </w:r>
      <w:r>
        <w:rPr>
          <w:bCs/>
        </w:rPr>
        <w:t>f</w:t>
      </w:r>
      <w:r w:rsidRPr="00570F30">
        <w:rPr>
          <w:bCs/>
        </w:rPr>
        <w:t xml:space="preserve">und, </w:t>
      </w:r>
      <w:r>
        <w:rPr>
          <w:bCs/>
        </w:rPr>
        <w:t>f</w:t>
      </w:r>
      <w:r w:rsidRPr="00570F30">
        <w:rPr>
          <w:bCs/>
        </w:rPr>
        <w:t xml:space="preserve">ederal </w:t>
      </w:r>
      <w:r>
        <w:rPr>
          <w:bCs/>
        </w:rPr>
        <w:t>f</w:t>
      </w:r>
      <w:r w:rsidRPr="00570F30">
        <w:rPr>
          <w:bCs/>
        </w:rPr>
        <w:t xml:space="preserve">unds, and </w:t>
      </w:r>
      <w:r>
        <w:rPr>
          <w:bCs/>
        </w:rPr>
        <w:t>o</w:t>
      </w:r>
      <w:r w:rsidRPr="00570F30">
        <w:rPr>
          <w:bCs/>
        </w:rPr>
        <w:t xml:space="preserve">ther </w:t>
      </w:r>
      <w:r>
        <w:rPr>
          <w:bCs/>
        </w:rPr>
        <w:t>f</w:t>
      </w:r>
      <w:r w:rsidRPr="00570F30">
        <w:rPr>
          <w:bCs/>
        </w:rPr>
        <w:t xml:space="preserve">unds. </w:t>
      </w:r>
    </w:p>
    <w:p w:rsid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570F30">
        <w:rPr>
          <w:rFonts w:eastAsiaTheme="majorEastAsia" w:cstheme="majorBidi"/>
          <w:b/>
          <w:bCs/>
        </w:rPr>
        <w:t>Explanation of Fiscal Impact</w:t>
      </w:r>
    </w:p>
    <w:p w:rsidR="00B375A9" w:rsidRPr="00570F30"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
          <w:bCs/>
        </w:rPr>
      </w:pPr>
      <w:r>
        <w:rPr>
          <w:rFonts w:eastAsiaTheme="majorEastAsia" w:cstheme="majorBidi"/>
          <w:b/>
          <w:bCs/>
        </w:rPr>
        <w:t>Explanation of Amendment (March 17, 2015) - By Senate Finance Committee</w:t>
      </w:r>
    </w:p>
    <w:p w:rsidR="00B375A9" w:rsidRPr="00570F30"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570F30">
        <w:rPr>
          <w:b/>
          <w:bCs/>
        </w:rPr>
        <w:t>State Expenditure</w:t>
      </w:r>
    </w:p>
    <w:p w:rsidR="00B375A9" w:rsidRPr="00570F30"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570F30">
        <w:rPr>
          <w:bCs/>
        </w:rPr>
        <w:t>This bill would amend Section 8-11-620 to provide that any public employee who is terminated within one year of retirement eligibility will have five</w:t>
      </w:r>
      <w:r>
        <w:rPr>
          <w:bCs/>
        </w:rPr>
        <w:t xml:space="preserve"> business</w:t>
      </w:r>
      <w:r w:rsidRPr="00570F30">
        <w:rPr>
          <w:bCs/>
        </w:rPr>
        <w:t xml:space="preserve"> days after termination to purchase the remaining service time in order to attain retirement eligibility</w:t>
      </w:r>
      <w:r>
        <w:rPr>
          <w:bCs/>
        </w:rPr>
        <w:t xml:space="preserve">.  The amended bill further clarifies that this bill includes active </w:t>
      </w:r>
      <w:r>
        <w:rPr>
          <w:bCs/>
        </w:rPr>
        <w:lastRenderedPageBreak/>
        <w:t>members of the South Carolina Retirement System and South Carolina Police Officers Retirement System.</w:t>
      </w:r>
      <w:r w:rsidRPr="00570F30">
        <w:rPr>
          <w:bCs/>
        </w:rPr>
        <w:t xml:space="preserve">  </w:t>
      </w:r>
    </w:p>
    <w:p w:rsid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70F30">
        <w:t>The Public Employee Benefits Authority indicates that this bill</w:t>
      </w:r>
      <w:r>
        <w:t>, as amended,</w:t>
      </w:r>
      <w:r w:rsidRPr="00570F30">
        <w:t xml:space="preserve"> would have no expenditure impact to the </w:t>
      </w:r>
      <w:r>
        <w:rPr>
          <w:bCs/>
        </w:rPr>
        <w:t>g</w:t>
      </w:r>
      <w:r w:rsidRPr="00570F30">
        <w:rPr>
          <w:bCs/>
        </w:rPr>
        <w:t xml:space="preserve">eneral </w:t>
      </w:r>
      <w:r>
        <w:rPr>
          <w:bCs/>
        </w:rPr>
        <w:t>f</w:t>
      </w:r>
      <w:r w:rsidRPr="00570F30">
        <w:rPr>
          <w:bCs/>
        </w:rPr>
        <w:t xml:space="preserve">und, </w:t>
      </w:r>
      <w:r>
        <w:rPr>
          <w:bCs/>
        </w:rPr>
        <w:t>f</w:t>
      </w:r>
      <w:r w:rsidRPr="00570F30">
        <w:rPr>
          <w:bCs/>
        </w:rPr>
        <w:t xml:space="preserve">ederal </w:t>
      </w:r>
      <w:r>
        <w:rPr>
          <w:bCs/>
        </w:rPr>
        <w:t>f</w:t>
      </w:r>
      <w:r w:rsidRPr="00570F30">
        <w:rPr>
          <w:bCs/>
        </w:rPr>
        <w:t xml:space="preserve">unds, and </w:t>
      </w:r>
      <w:r>
        <w:rPr>
          <w:bCs/>
        </w:rPr>
        <w:t>o</w:t>
      </w:r>
      <w:r w:rsidRPr="00570F30">
        <w:rPr>
          <w:bCs/>
        </w:rPr>
        <w:t xml:space="preserve">ther </w:t>
      </w:r>
      <w:r>
        <w:rPr>
          <w:bCs/>
        </w:rPr>
        <w:t>f</w:t>
      </w:r>
      <w:r w:rsidRPr="00570F30">
        <w:rPr>
          <w:bCs/>
        </w:rPr>
        <w:t>unds</w:t>
      </w:r>
      <w:r w:rsidRPr="00570F30">
        <w:t xml:space="preserve"> since members are required to purchase ser</w:t>
      </w:r>
      <w:r>
        <w:t xml:space="preserve">vice time at actuarial cost. </w:t>
      </w:r>
    </w:p>
    <w:p w:rsidR="00107B7C" w:rsidRDefault="00107B7C"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07B7C">
        <w:rPr>
          <w:b/>
        </w:rPr>
        <w:t>Explantion of Bill filed January 28, 2015</w:t>
      </w:r>
    </w:p>
    <w:p w:rsidR="00107B7C" w:rsidRDefault="00107B7C"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This bill would amend Section 8-11-620 to provide that any public employee who is terminated within one year of retirement eligibility will have five days after termination to purchase the remaining service time in order to attain retirement eligibility.</w:t>
      </w:r>
    </w:p>
    <w:p w:rsidR="00107B7C" w:rsidRPr="00107B7C" w:rsidRDefault="00107B7C"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public Employee Benefits Authority indicates that thus bill would have no expenditure impact to the general fund, federal funds, and other funds since members are required to purchase service time at actuarial cost.</w:t>
      </w:r>
    </w:p>
    <w:p w:rsidR="00B375A9" w:rsidRPr="00107B7C"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B375A9"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375A9" w:rsidRPr="008549FE" w:rsidRDefault="00B375A9" w:rsidP="00B3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49FE" w:rsidSect="00E63B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B1893" w:rsidRPr="00522CE0" w:rsidRDefault="009B1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3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0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11</w:t>
      </w:r>
      <w:r>
        <w:rPr>
          <w:rFonts w:eastAsia="Times New Roman"/>
        </w:rPr>
        <w:noBreakHyphen/>
        <w:t>620(A)(1) OF THE 1976 CODE, RELATING TO LEAVE AND LUMP</w:t>
      </w:r>
      <w:r>
        <w:rPr>
          <w:rFonts w:eastAsia="Times New Roman"/>
        </w:rPr>
        <w:noBreakHyphen/>
        <w:t>SUM PAYMENTS UPON TERMINATION OF EMPLOYMENT, TO PROVIDE THAT ANY PUBLIC EMPLOYEE WHO IS TERMINATED WITHIN ONE YEAR OF FULL RETIREMENT SHALL HAVE FIVE DAYS AFTER TERMINATION TO PURCHASE THE REMAINING TIME.</w:t>
      </w:r>
      <w:bookmarkEnd w:id="1"/>
    </w:p>
    <w:p w:rsidR="00E86FD6" w:rsidRDefault="00E86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Pr>
          <w:rFonts w:eastAsia="Times New Roman"/>
        </w:rPr>
        <w:noBreakHyphen/>
        <w:t>11</w:t>
      </w:r>
      <w:r>
        <w:rPr>
          <w:rFonts w:eastAsia="Times New Roman"/>
        </w:rPr>
        <w:noBreakHyphen/>
        <w:t>620(A)(1) of the 1976 Code is amended to read:</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Pr="00DD4A93"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6FD6" w:rsidRPr="00B076FC">
        <w:rPr>
          <w:rFonts w:eastAsia="Times New Roman"/>
          <w:snapToGrid w:val="0"/>
          <w:szCs w:val="20"/>
        </w:rPr>
        <w:t xml:space="preserve">“Section </w:t>
      </w:r>
      <w:r w:rsidR="00E86FD6" w:rsidRPr="00B076FC">
        <w:rPr>
          <w:rFonts w:eastAsia="Times New Roman"/>
        </w:rPr>
        <w:t>8</w:t>
      </w:r>
      <w:r w:rsidR="00E86FD6">
        <w:rPr>
          <w:rFonts w:eastAsia="Times New Roman"/>
        </w:rPr>
        <w:noBreakHyphen/>
      </w:r>
      <w:r w:rsidR="00E86FD6" w:rsidRPr="00B076FC">
        <w:rPr>
          <w:rFonts w:eastAsia="Times New Roman"/>
        </w:rPr>
        <w:t>11</w:t>
      </w:r>
      <w:r w:rsidR="00E86FD6">
        <w:rPr>
          <w:rFonts w:eastAsia="Times New Roman"/>
        </w:rPr>
        <w:noBreakHyphen/>
      </w:r>
      <w:r w:rsidR="00E86FD6" w:rsidRPr="00B076FC">
        <w:rPr>
          <w:rFonts w:eastAsia="Times New Roman"/>
        </w:rPr>
        <w:t>620.</w:t>
      </w:r>
      <w:r w:rsidR="00E86FD6" w:rsidRPr="00B076FC">
        <w:rPr>
          <w:rFonts w:eastAsia="Times New Roman"/>
        </w:rPr>
        <w:tab/>
        <w:t>(A)(1)</w:t>
      </w:r>
      <w:r w:rsidR="00E86FD6" w:rsidRPr="00B076FC">
        <w:rPr>
          <w:rFonts w:eastAsia="Times New Roman"/>
        </w:rPr>
        <w:tab/>
        <w:t>Upon termination from state employment, an employee may take both annual leave and a lump</w:t>
      </w:r>
      <w:r w:rsidR="00E86FD6">
        <w:rPr>
          <w:rFonts w:eastAsia="Times New Roman"/>
        </w:rPr>
        <w:noBreakHyphen/>
      </w:r>
      <w:r w:rsidR="00E86FD6" w:rsidRPr="00B076FC">
        <w:rPr>
          <w:rFonts w:eastAsia="Times New Roman"/>
        </w:rPr>
        <w:t>sum payment for unused leave, but this combination may not exceed forty</w:t>
      </w:r>
      <w:r w:rsidR="00E86FD6">
        <w:rPr>
          <w:rFonts w:eastAsia="Times New Roman"/>
        </w:rPr>
        <w:noBreakHyphen/>
      </w:r>
      <w:r w:rsidR="00E86FD6" w:rsidRPr="00B076FC">
        <w:rPr>
          <w:rFonts w:eastAsia="Times New Roman"/>
        </w:rPr>
        <w:t>five days in a calendar year except as provided in Section 8</w:t>
      </w:r>
      <w:r w:rsidR="00E86FD6">
        <w:rPr>
          <w:rFonts w:eastAsia="Times New Roman"/>
        </w:rPr>
        <w:noBreakHyphen/>
      </w:r>
      <w:r w:rsidR="00E86FD6" w:rsidRPr="00B076FC">
        <w:rPr>
          <w:rFonts w:eastAsia="Times New Roman"/>
        </w:rPr>
        <w:t>11</w:t>
      </w:r>
      <w:r w:rsidR="00E86FD6">
        <w:rPr>
          <w:rFonts w:eastAsia="Times New Roman"/>
        </w:rPr>
        <w:noBreakHyphen/>
      </w:r>
      <w:r w:rsidR="00E86FD6" w:rsidRPr="00B076FC">
        <w:rPr>
          <w:rFonts w:eastAsia="Times New Roman"/>
        </w:rPr>
        <w:t>610. If an employee dies, the employee</w:t>
      </w:r>
      <w:r w:rsidR="00E86FD6" w:rsidRPr="00D47E8D">
        <w:rPr>
          <w:rFonts w:eastAsia="Times New Roman"/>
        </w:rPr>
        <w:t>’</w:t>
      </w:r>
      <w:r w:rsidR="00E86FD6" w:rsidRPr="00B076FC">
        <w:rPr>
          <w:rFonts w:eastAsia="Times New Roman"/>
        </w:rPr>
        <w:t>s legal representative is entitled to a lump</w:t>
      </w:r>
      <w:r w:rsidR="00E86FD6">
        <w:rPr>
          <w:rFonts w:eastAsia="Times New Roman"/>
        </w:rPr>
        <w:noBreakHyphen/>
      </w:r>
      <w:r w:rsidR="00E86FD6" w:rsidRPr="00B076FC">
        <w:rPr>
          <w:rFonts w:eastAsia="Times New Roman"/>
        </w:rPr>
        <w:t>sum payment for the employee</w:t>
      </w:r>
      <w:r w:rsidR="00E86FD6" w:rsidRPr="00D47E8D">
        <w:rPr>
          <w:rFonts w:eastAsia="Times New Roman"/>
        </w:rPr>
        <w:t>’</w:t>
      </w:r>
      <w:r w:rsidR="00E86FD6" w:rsidRPr="00B076FC">
        <w:rPr>
          <w:rFonts w:eastAsia="Times New Roman"/>
        </w:rPr>
        <w:t>s unused leave, not to exceed forty</w:t>
      </w:r>
      <w:r w:rsidR="00E86FD6">
        <w:rPr>
          <w:rFonts w:eastAsia="Times New Roman"/>
        </w:rPr>
        <w:noBreakHyphen/>
      </w:r>
      <w:r w:rsidR="00E86FD6" w:rsidRPr="00B076FC">
        <w:rPr>
          <w:rFonts w:eastAsia="Times New Roman"/>
        </w:rPr>
        <w:t>five working days, except as provided in Section 8</w:t>
      </w:r>
      <w:r w:rsidR="00E86FD6">
        <w:rPr>
          <w:rFonts w:eastAsia="Times New Roman"/>
        </w:rPr>
        <w:noBreakHyphen/>
      </w:r>
      <w:r w:rsidR="00E86FD6" w:rsidRPr="00B076FC">
        <w:rPr>
          <w:rFonts w:eastAsia="Times New Roman"/>
        </w:rPr>
        <w:t>11</w:t>
      </w:r>
      <w:r w:rsidR="00E86FD6">
        <w:rPr>
          <w:rFonts w:eastAsia="Times New Roman"/>
        </w:rPr>
        <w:noBreakHyphen/>
      </w:r>
      <w:r w:rsidR="00E86FD6" w:rsidRPr="00B076FC">
        <w:rPr>
          <w:rFonts w:eastAsia="Times New Roman"/>
        </w:rPr>
        <w:t xml:space="preserve">610.  </w:t>
      </w:r>
      <w:r w:rsidR="00E86FD6" w:rsidRPr="00B076FC">
        <w:rPr>
          <w:color w:val="000000" w:themeColor="text1"/>
          <w:u w:val="single" w:color="000000" w:themeColor="text1"/>
        </w:rPr>
        <w:t>An active member of the South Carolina Retirement System or South Carolina Police Officers Retirement System who is terminated within one year of retirement eligibility shall have five business days after the date of termination to purchase any service credit that the member is otherwise eligible to purchase as provided in Section 9</w:t>
      </w:r>
      <w:r w:rsidR="00E86FD6">
        <w:rPr>
          <w:color w:val="000000" w:themeColor="text1"/>
          <w:u w:val="single" w:color="000000" w:themeColor="text1"/>
        </w:rPr>
        <w:noBreakHyphen/>
      </w:r>
      <w:r w:rsidR="00E86FD6" w:rsidRPr="00B076FC">
        <w:rPr>
          <w:color w:val="000000" w:themeColor="text1"/>
          <w:u w:val="single" w:color="000000" w:themeColor="text1"/>
        </w:rPr>
        <w:t>1</w:t>
      </w:r>
      <w:r w:rsidR="00E86FD6">
        <w:rPr>
          <w:color w:val="000000" w:themeColor="text1"/>
          <w:u w:val="single" w:color="000000" w:themeColor="text1"/>
        </w:rPr>
        <w:noBreakHyphen/>
      </w:r>
      <w:r w:rsidR="00E86FD6" w:rsidRPr="00B076FC">
        <w:rPr>
          <w:color w:val="000000" w:themeColor="text1"/>
          <w:u w:val="single" w:color="000000" w:themeColor="text1"/>
        </w:rPr>
        <w:t>1140 or Section 9</w:t>
      </w:r>
      <w:r w:rsidR="00E86FD6">
        <w:rPr>
          <w:color w:val="000000" w:themeColor="text1"/>
          <w:u w:val="single" w:color="000000" w:themeColor="text1"/>
        </w:rPr>
        <w:noBreakHyphen/>
      </w:r>
      <w:r w:rsidR="00E86FD6" w:rsidRPr="00B076FC">
        <w:rPr>
          <w:color w:val="000000" w:themeColor="text1"/>
          <w:u w:val="single" w:color="000000" w:themeColor="text1"/>
        </w:rPr>
        <w:t>11</w:t>
      </w:r>
      <w:r w:rsidR="00E86FD6">
        <w:rPr>
          <w:color w:val="000000" w:themeColor="text1"/>
          <w:u w:val="single" w:color="000000" w:themeColor="text1"/>
        </w:rPr>
        <w:noBreakHyphen/>
      </w:r>
      <w:r w:rsidR="00E86FD6" w:rsidRPr="00B076FC">
        <w:rPr>
          <w:color w:val="000000" w:themeColor="text1"/>
          <w:u w:val="single" w:color="000000" w:themeColor="text1"/>
        </w:rPr>
        <w:t>50 in order to attain retirement eligibility.</w:t>
      </w:r>
      <w:r w:rsidR="00E86FD6" w:rsidRPr="00B076FC">
        <w:rPr>
          <w:color w:val="000000" w:themeColor="text1"/>
          <w:u w:color="000000" w:themeColor="text1"/>
        </w:rPr>
        <w:t>”</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76F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076FC">
        <w:rPr>
          <w:color w:val="000000" w:themeColor="text1"/>
          <w:u w:color="000000" w:themeColor="text1"/>
        </w:rPr>
        <w:t>Section 9</w:t>
      </w:r>
      <w:r>
        <w:rPr>
          <w:color w:val="000000" w:themeColor="text1"/>
          <w:u w:color="000000" w:themeColor="text1"/>
        </w:rPr>
        <w:noBreakHyphen/>
      </w:r>
      <w:r w:rsidRPr="00B076FC">
        <w:rPr>
          <w:color w:val="000000" w:themeColor="text1"/>
          <w:u w:color="000000" w:themeColor="text1"/>
        </w:rPr>
        <w:t>1</w:t>
      </w:r>
      <w:r>
        <w:rPr>
          <w:color w:val="000000" w:themeColor="text1"/>
          <w:u w:color="000000" w:themeColor="text1"/>
        </w:rPr>
        <w:noBreakHyphen/>
      </w:r>
      <w:r w:rsidRPr="00B076FC">
        <w:rPr>
          <w:color w:val="000000" w:themeColor="text1"/>
          <w:u w:color="000000" w:themeColor="text1"/>
        </w:rPr>
        <w:t xml:space="preserve">1140 </w:t>
      </w:r>
      <w:r>
        <w:rPr>
          <w:color w:val="000000" w:themeColor="text1"/>
          <w:u w:color="000000" w:themeColor="text1"/>
        </w:rPr>
        <w:t xml:space="preserve">of the 1976 Code, </w:t>
      </w:r>
      <w:r w:rsidRPr="00B076FC">
        <w:rPr>
          <w:color w:val="000000" w:themeColor="text1"/>
          <w:u w:color="000000" w:themeColor="text1"/>
        </w:rPr>
        <w:t xml:space="preserve">as </w:t>
      </w:r>
      <w:r>
        <w:rPr>
          <w:color w:val="000000" w:themeColor="text1"/>
          <w:u w:color="000000" w:themeColor="text1"/>
        </w:rPr>
        <w:t xml:space="preserve">last </w:t>
      </w:r>
      <w:r w:rsidRPr="00B076FC">
        <w:rPr>
          <w:color w:val="000000" w:themeColor="text1"/>
          <w:u w:color="000000" w:themeColor="text1"/>
        </w:rPr>
        <w:t>amended by Act 278 of 2012</w:t>
      </w:r>
      <w:r>
        <w:rPr>
          <w:color w:val="000000" w:themeColor="text1"/>
          <w:u w:color="000000" w:themeColor="text1"/>
        </w:rPr>
        <w:t>,</w:t>
      </w:r>
      <w:r w:rsidRPr="00B076FC">
        <w:rPr>
          <w:color w:val="000000" w:themeColor="text1"/>
          <w:u w:color="000000" w:themeColor="text1"/>
        </w:rPr>
        <w:t xml:space="preserve"> is further amended by adding a subsection at the end to read:</w:t>
      </w: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076FC">
        <w:rPr>
          <w:color w:val="000000" w:themeColor="text1"/>
          <w:u w:color="000000" w:themeColor="text1"/>
        </w:rPr>
        <w:t>“(O)</w:t>
      </w:r>
      <w:r>
        <w:rPr>
          <w:color w:val="000000" w:themeColor="text1"/>
          <w:u w:color="000000" w:themeColor="text1"/>
        </w:rPr>
        <w:tab/>
      </w:r>
      <w:r w:rsidRPr="00B076FC">
        <w:rPr>
          <w:color w:val="000000" w:themeColor="text1"/>
          <w:u w:color="000000" w:themeColor="text1"/>
        </w:rPr>
        <w:t>An active member who is terminated within one year of retirement eligibility shall have five business days after the date of termination to purchase any service credit that the member is otherwise eligible to purchase under this section.”</w:t>
      </w: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076FC">
        <w:rPr>
          <w:color w:val="000000" w:themeColor="text1"/>
          <w:u w:color="000000" w:themeColor="text1"/>
        </w:rPr>
        <w:t>Section 9</w:t>
      </w:r>
      <w:r>
        <w:rPr>
          <w:color w:val="000000" w:themeColor="text1"/>
          <w:u w:color="000000" w:themeColor="text1"/>
        </w:rPr>
        <w:noBreakHyphen/>
      </w:r>
      <w:r w:rsidRPr="00B076FC">
        <w:rPr>
          <w:color w:val="000000" w:themeColor="text1"/>
          <w:u w:color="000000" w:themeColor="text1"/>
        </w:rPr>
        <w:t>11</w:t>
      </w:r>
      <w:r>
        <w:rPr>
          <w:color w:val="000000" w:themeColor="text1"/>
          <w:u w:color="000000" w:themeColor="text1"/>
        </w:rPr>
        <w:noBreakHyphen/>
      </w:r>
      <w:r w:rsidRPr="00B076FC">
        <w:rPr>
          <w:color w:val="000000" w:themeColor="text1"/>
          <w:u w:color="000000" w:themeColor="text1"/>
        </w:rPr>
        <w:t xml:space="preserve">50 </w:t>
      </w:r>
      <w:r>
        <w:rPr>
          <w:color w:val="000000" w:themeColor="text1"/>
          <w:u w:color="000000" w:themeColor="text1"/>
        </w:rPr>
        <w:t xml:space="preserve">of the 1976 Code, </w:t>
      </w:r>
      <w:r w:rsidRPr="00B076FC">
        <w:rPr>
          <w:color w:val="000000" w:themeColor="text1"/>
          <w:u w:color="000000" w:themeColor="text1"/>
        </w:rPr>
        <w:t xml:space="preserve">as </w:t>
      </w:r>
      <w:r>
        <w:rPr>
          <w:color w:val="000000" w:themeColor="text1"/>
          <w:u w:color="000000" w:themeColor="text1"/>
        </w:rPr>
        <w:t xml:space="preserve">last </w:t>
      </w:r>
      <w:r w:rsidRPr="00B076FC">
        <w:rPr>
          <w:color w:val="000000" w:themeColor="text1"/>
          <w:u w:color="000000" w:themeColor="text1"/>
        </w:rPr>
        <w:t>amended by Act 278 of 2012</w:t>
      </w:r>
      <w:r>
        <w:rPr>
          <w:color w:val="000000" w:themeColor="text1"/>
          <w:u w:color="000000" w:themeColor="text1"/>
        </w:rPr>
        <w:t>,</w:t>
      </w:r>
      <w:r w:rsidRPr="00B076FC">
        <w:rPr>
          <w:color w:val="000000" w:themeColor="text1"/>
          <w:u w:color="000000" w:themeColor="text1"/>
        </w:rPr>
        <w:t xml:space="preserve"> is further amended by adding a subsection at the end to read:</w:t>
      </w: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FD6"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B076FC">
        <w:rPr>
          <w:color w:val="000000" w:themeColor="text1"/>
          <w:u w:color="000000" w:themeColor="text1"/>
        </w:rPr>
        <w:t>“(O)</w:t>
      </w:r>
      <w:r>
        <w:rPr>
          <w:color w:val="000000" w:themeColor="text1"/>
          <w:u w:color="000000" w:themeColor="text1"/>
        </w:rPr>
        <w:tab/>
      </w:r>
      <w:r w:rsidRPr="00B076FC">
        <w:rPr>
          <w:color w:val="000000" w:themeColor="text1"/>
          <w:u w:color="000000" w:themeColor="text1"/>
        </w:rPr>
        <w:t>An active member who is terminated within one year of retirement eligibility shall have five business days after the date of termination to purchase any service credit that the member is otherwise eligible to purchase under this section.”</w:t>
      </w:r>
    </w:p>
    <w:p w:rsidR="00E86FD6" w:rsidRDefault="00E86FD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B6A" w:rsidRPr="00522CE0" w:rsidRDefault="00E86FD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8A0196">
        <w:rPr>
          <w:rFonts w:eastAsia="Times New Roman"/>
        </w:rPr>
        <w:t>.</w:t>
      </w:r>
      <w:r w:rsidR="008A0196">
        <w:rPr>
          <w:rFonts w:eastAsia="Times New Roman"/>
        </w:rPr>
        <w:tab/>
        <w:t>This act takes effect upon approval by the Governor.</w:t>
      </w:r>
    </w:p>
    <w:p w:rsidR="00E02F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06F1" w:rsidRDefault="00E006F1" w:rsidP="00E006F1">
      <w:pPr>
        <w:suppressAutoHyphens/>
        <w:jc w:val="both"/>
        <w:rPr>
          <w:rFonts w:eastAsia="Times New Roman"/>
        </w:rPr>
      </w:pPr>
    </w:p>
    <w:sectPr w:rsidR="00E006F1" w:rsidSect="00E63B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5A9" w:rsidRDefault="00B375A9" w:rsidP="00522CE0">
      <w:r>
        <w:separator/>
      </w:r>
    </w:p>
  </w:endnote>
  <w:endnote w:type="continuationSeparator" w:id="0">
    <w:p w:rsidR="00B375A9" w:rsidRDefault="00B375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B28EBB-D174-4FD7-B76B-3A18E542498B}"/>
    <w:embedBold r:id="rId2" w:fontKey="{70988986-DA3C-4B92-AE71-BA05B719692C}"/>
  </w:font>
  <w:font w:name="Calibri">
    <w:panose1 w:val="020F0502020204030204"/>
    <w:charset w:val="00"/>
    <w:family w:val="swiss"/>
    <w:pitch w:val="variable"/>
    <w:sig w:usb0="E00002FF" w:usb1="4000ACFF" w:usb2="00000001" w:usb3="00000000" w:csb0="0000019F" w:csb1="00000000"/>
    <w:embedRegular r:id="rId3" w:fontKey="{A79D5798-A19C-4B5D-BBDB-6753FBC75775}"/>
    <w:embedBold r:id="rId4" w:fontKey="{B79018FD-8B79-4770-B92D-A591CA3B0D3A}"/>
  </w:font>
  <w:font w:name="Segoe UI">
    <w:panose1 w:val="020B0502040204020203"/>
    <w:charset w:val="00"/>
    <w:family w:val="swiss"/>
    <w:pitch w:val="variable"/>
    <w:sig w:usb0="E10022FF" w:usb1="C000E47F" w:usb2="00000029" w:usb3="00000000" w:csb0="000001DF" w:csb1="00000000"/>
    <w:embedRegular r:id="rId5" w:fontKey="{A54022D6-A02B-4D8B-8BE4-EB56DD452D11}"/>
  </w:font>
  <w:font w:name="Cambria">
    <w:panose1 w:val="02040503050406030204"/>
    <w:charset w:val="00"/>
    <w:family w:val="roman"/>
    <w:pitch w:val="variable"/>
    <w:sig w:usb0="E00002FF" w:usb1="400004FF" w:usb2="00000000" w:usb3="00000000" w:csb0="0000019F" w:csb1="00000000"/>
    <w:embedRegular r:id="rId6" w:fontKey="{43BB50D8-0C39-45C4-BD8C-BF782201E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5A9" w:rsidRPr="009B1893" w:rsidRDefault="00B375A9" w:rsidP="009B1893">
    <w:pPr>
      <w:pStyle w:val="Footer"/>
      <w:tabs>
        <w:tab w:val="clear" w:pos="4680"/>
        <w:tab w:val="clear" w:pos="9360"/>
        <w:tab w:val="center" w:pos="2995"/>
      </w:tabs>
      <w:spacing w:before="120"/>
    </w:pPr>
    <w:r>
      <w:t>[381-</w:t>
    </w:r>
    <w:r>
      <w:fldChar w:fldCharType="begin"/>
    </w:r>
    <w:r>
      <w:instrText xml:space="preserve"> PAGE  \* MERGEFORMAT </w:instrText>
    </w:r>
    <w:r>
      <w:fldChar w:fldCharType="separate"/>
    </w:r>
    <w:r w:rsidR="00E006F1">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5A9" w:rsidRPr="009B1893" w:rsidRDefault="00B375A9" w:rsidP="009B1893">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sidR="00E006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5A9" w:rsidRDefault="00B375A9" w:rsidP="00522CE0">
      <w:r>
        <w:separator/>
      </w:r>
    </w:p>
  </w:footnote>
  <w:footnote w:type="continuationSeparator" w:id="0">
    <w:p w:rsidR="00B375A9" w:rsidRDefault="00B375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UBL.KMM.KS"/>
    <w:docVar w:name="CoverAttorneyInitials" w:val="KMM"/>
    <w:docVar w:name="CoverAttorneyLastName" w:val="Moffitt"/>
    <w:docVar w:name="CoverBillType" w:val="b"/>
    <w:docVar w:name="CoverSenator" w:val="KS"/>
    <w:docVar w:name="dvBillNumber" w:val="381"/>
    <w:docVar w:name="dvBillNumberPrefix" w:val="S. "/>
    <w:docVar w:name="dvOriginalBody" w:val="Senate"/>
    <w:docVar w:name="fulldraftpath" w:val="L:\S-RES\KS\020PUBL.KMM.KS.DOCX"/>
    <w:docVar w:name="NameofBody" w:val="S"/>
    <w:docVar w:name="vgroup2" w:val="S-RES"/>
  </w:docVars>
  <w:rsids>
    <w:rsidRoot w:val="00893B6A"/>
    <w:rsid w:val="00041781"/>
    <w:rsid w:val="00042AC1"/>
    <w:rsid w:val="00046516"/>
    <w:rsid w:val="0007601D"/>
    <w:rsid w:val="000B0720"/>
    <w:rsid w:val="000B10C4"/>
    <w:rsid w:val="000B5EAF"/>
    <w:rsid w:val="00107B7C"/>
    <w:rsid w:val="001315B2"/>
    <w:rsid w:val="00170561"/>
    <w:rsid w:val="001735BB"/>
    <w:rsid w:val="00186AC9"/>
    <w:rsid w:val="00197DF1"/>
    <w:rsid w:val="001B3DD9"/>
    <w:rsid w:val="001B7E5D"/>
    <w:rsid w:val="001D3BAC"/>
    <w:rsid w:val="00206A75"/>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5598B"/>
    <w:rsid w:val="00565148"/>
    <w:rsid w:val="00570403"/>
    <w:rsid w:val="00593361"/>
    <w:rsid w:val="005A413B"/>
    <w:rsid w:val="005A5017"/>
    <w:rsid w:val="005A648C"/>
    <w:rsid w:val="005F1745"/>
    <w:rsid w:val="006A1802"/>
    <w:rsid w:val="006C74EA"/>
    <w:rsid w:val="006E7F9F"/>
    <w:rsid w:val="00720D40"/>
    <w:rsid w:val="007318D4"/>
    <w:rsid w:val="00733E54"/>
    <w:rsid w:val="00765784"/>
    <w:rsid w:val="007A4390"/>
    <w:rsid w:val="007E5CB7"/>
    <w:rsid w:val="0081380E"/>
    <w:rsid w:val="008314D2"/>
    <w:rsid w:val="008549FE"/>
    <w:rsid w:val="00893B6A"/>
    <w:rsid w:val="008A0196"/>
    <w:rsid w:val="008B2F42"/>
    <w:rsid w:val="008C3697"/>
    <w:rsid w:val="008E185F"/>
    <w:rsid w:val="008F023B"/>
    <w:rsid w:val="00904E16"/>
    <w:rsid w:val="009162B3"/>
    <w:rsid w:val="00927C62"/>
    <w:rsid w:val="00983951"/>
    <w:rsid w:val="00984124"/>
    <w:rsid w:val="00984640"/>
    <w:rsid w:val="00995C37"/>
    <w:rsid w:val="009B1893"/>
    <w:rsid w:val="009C118A"/>
    <w:rsid w:val="009D7D2A"/>
    <w:rsid w:val="00A02011"/>
    <w:rsid w:val="00A36A16"/>
    <w:rsid w:val="00A4011E"/>
    <w:rsid w:val="00A86015"/>
    <w:rsid w:val="00A9594E"/>
    <w:rsid w:val="00AE59C8"/>
    <w:rsid w:val="00B10098"/>
    <w:rsid w:val="00B375A9"/>
    <w:rsid w:val="00B5790D"/>
    <w:rsid w:val="00B57F1F"/>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06F1"/>
    <w:rsid w:val="00E02F6C"/>
    <w:rsid w:val="00E058D3"/>
    <w:rsid w:val="00E63B05"/>
    <w:rsid w:val="00E76AD9"/>
    <w:rsid w:val="00E86FD6"/>
    <w:rsid w:val="00E91E2F"/>
    <w:rsid w:val="00EA3546"/>
    <w:rsid w:val="00EB47AE"/>
    <w:rsid w:val="00EC34E1"/>
    <w:rsid w:val="00F0234A"/>
    <w:rsid w:val="00F05CF2"/>
    <w:rsid w:val="00F51241"/>
    <w:rsid w:val="00F52959"/>
    <w:rsid w:val="00F55884"/>
    <w:rsid w:val="00FB7F01"/>
    <w:rsid w:val="00FC0D36"/>
    <w:rsid w:val="00FE139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C218B6B-55A0-4E4F-A472-7D0C33FB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E63B05"/>
    <w:rPr>
      <w:rFonts w:cstheme="minorBidi"/>
      <w:sz w:val="24"/>
    </w:rPr>
  </w:style>
  <w:style w:type="paragraph" w:styleId="BalloonText">
    <w:name w:val="Balloon Text"/>
    <w:basedOn w:val="Normal"/>
    <w:link w:val="BalloonTextChar"/>
    <w:uiPriority w:val="99"/>
    <w:semiHidden/>
    <w:unhideWhenUsed/>
    <w:rsid w:val="00854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3F850A37.dotm</Template>
  <TotalTime>0</TotalTime>
  <Pages>4</Pages>
  <Words>691</Words>
  <Characters>3687</Characters>
  <Application>Microsoft Office Word</Application>
  <DocSecurity>0</DocSecurity>
  <Lines>120</Lines>
  <Paragraphs>37</Paragraphs>
  <ScaleCrop>false</ScaleCrop>
  <HeadingPairs>
    <vt:vector size="2" baseType="variant">
      <vt:variant>
        <vt:lpstr>Title</vt:lpstr>
      </vt:variant>
      <vt:variant>
        <vt:i4>1</vt:i4>
      </vt:variant>
    </vt:vector>
  </HeadingPairs>
  <TitlesOfParts>
    <vt:vector size="1" baseType="lpstr">
      <vt:lpstr>2015-2016 Bill 381 Text of Previous Version (Jan. 28, 2015) - South Carolina Legislature Online</vt:lpstr>
    </vt:vector>
  </TitlesOfParts>
  <Company> </Company>
  <LinksUpToDate>false</LinksUpToDate>
  <CharactersWithSpaces>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 Text of Previous Version (May 19, 2016) - South Carolina Legislature Online</dc:title>
  <dc:subject/>
  <dc:creator>%USERNAME%</dc:creator>
  <cp:keywords/>
  <dc:description/>
  <cp:lastModifiedBy>Miriam Cook</cp:lastModifiedBy>
  <cp:revision>2</cp:revision>
  <cp:lastPrinted>2015-03-11T23:08:00Z</cp:lastPrinted>
  <dcterms:created xsi:type="dcterms:W3CDTF">2016-05-19T23:05:00Z</dcterms:created>
  <dcterms:modified xsi:type="dcterms:W3CDTF">2016-05-19T23:05:00Z</dcterms:modified>
</cp:coreProperties>
</file>