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2E78" w:rsidRP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2E78" w:rsidRDefault="009F2E78" w:rsidP="009F2E78">
      <w:pPr>
        <w:tabs>
          <w:tab w:val="right" w:pos="5933"/>
        </w:tabs>
        <w:suppressAutoHyphens/>
      </w:pPr>
      <w:r>
        <w:tab/>
      </w:r>
      <w:r>
        <w:rPr>
          <w:b/>
          <w:sz w:val="36"/>
        </w:rPr>
        <w:t>H. 3979</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Clary, Quinn, Loftis, Mitchell, Sottile, Collins, Burns, M.S. McLeod, Kennedy, Yow, Bedingfield, Hamilton, Duckworth, Johnson, Corley, King, Kirby, McEachern, Brannon, Horne, Southard, Alexander, Allison, Anderson, Anthony, Bales, Bamberg, Bernstein, Bingham, Bradley, Chumley, Cole, Crosby, Daning, Delleney, Erickson, Felder, Finlay, Funderburk, Gagnon, Gambrell, George, Hardee, Hardwick, Hart, Henderson, Herbkersman, Hicks, Hill, Hixon, Howard, Huggins, Limehouse, Long, Lowe, Lucas, McCoy, Merrill, D.C. Moss, V.S. Moss, Murphy, Nanney, Newton, Norman, Norrell, Ott, Pope, Putnam, Ridgeway, Riley, Rivers, Rutherford, Ryhal, Sandifer, Simrill, G.R. Smith, Spires, Stavrinakis, Stringer, Taylor, Thayer, Tinkler, Toole, Weeks, Wells, White, Whitmire, Willis, G.M. Smith and Pitts</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3979) </w:t>
      </w:r>
      <w:r w:rsidRPr="009F2E78">
        <w:rPr>
          <w:rFonts w:eastAsia="Calibri"/>
          <w:color w:val="000000"/>
          <w:u w:color="000000"/>
        </w:rPr>
        <w:t>to amend Sections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10, 2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20, 2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35, 2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70, 2</w:t>
      </w:r>
      <w:r w:rsidRPr="009F2E78">
        <w:rPr>
          <w:color w:val="000000" w:themeColor="text1"/>
          <w:u w:color="000000" w:themeColor="text1"/>
        </w:rPr>
        <w:noBreakHyphen/>
      </w:r>
      <w:r w:rsidRPr="009F2E78">
        <w:rPr>
          <w:rFonts w:eastAsia="Calibri"/>
          <w:color w:val="000000"/>
          <w:u w:color="000000"/>
        </w:rPr>
        <w:t>19</w:t>
      </w:r>
      <w:r w:rsidRPr="009F2E78">
        <w:rPr>
          <w:color w:val="000000" w:themeColor="text1"/>
          <w:u w:color="000000" w:themeColor="text1"/>
        </w:rPr>
        <w:noBreakHyphen/>
      </w:r>
      <w:r w:rsidRPr="009F2E78">
        <w:rPr>
          <w:rFonts w:eastAsia="Calibri"/>
          <w:color w:val="000000"/>
          <w:u w:color="000000"/>
        </w:rPr>
        <w:t>80</w:t>
      </w:r>
      <w:r>
        <w:t>, and 2</w:t>
      </w:r>
      <w:r w:rsidRPr="009F2E78">
        <w:rPr>
          <w:color w:val="000000" w:themeColor="text1"/>
          <w:u w:color="000000" w:themeColor="text1"/>
        </w:rPr>
        <w:noBreakHyphen/>
      </w:r>
      <w:r>
        <w:t>19</w:t>
      </w:r>
      <w:r w:rsidRPr="009F2E78">
        <w:rPr>
          <w:color w:val="000000" w:themeColor="text1"/>
          <w:u w:color="000000" w:themeColor="text1"/>
        </w:rPr>
        <w:noBreakHyphen/>
      </w:r>
      <w:r>
        <w:t>90, Code of Laws of South Carolina, 1976, all relating to the Judicial Merit, etc., respectfully</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as and if amended, SECTION 4, Page 3, by deleting section 2</w:t>
      </w:r>
      <w:r w:rsidRPr="009F0550">
        <w:noBreakHyphen/>
        <w:t>19</w:t>
      </w:r>
      <w:r w:rsidRPr="009F0550">
        <w:noBreakHyphen/>
        <w:t>70(A) and inserting:</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9F0550">
        <w:t>/</w:t>
      </w:r>
      <w:r w:rsidRPr="009F0550">
        <w:tab/>
        <w:t>“</w:t>
      </w:r>
      <w:r w:rsidRPr="009F0550">
        <w:rPr>
          <w:rFonts w:eastAsia="Calibri"/>
          <w:u w:color="000000"/>
        </w:rPr>
        <w:t>(A)</w:t>
      </w:r>
      <w:r w:rsidRPr="009F0550">
        <w:rPr>
          <w:rFonts w:eastAsia="Calibri"/>
          <w:u w:color="000000"/>
        </w:rPr>
        <w:tab/>
      </w:r>
      <w:r w:rsidRPr="009F0550">
        <w:rPr>
          <w:rFonts w:eastAsia="Calibri"/>
          <w:strike/>
          <w:u w:color="000000"/>
        </w:rPr>
        <w:t>No</w:t>
      </w:r>
      <w:r w:rsidRPr="009F0550">
        <w:rPr>
          <w:rFonts w:eastAsia="Calibri"/>
          <w:u w:color="000000"/>
        </w:rPr>
        <w:t xml:space="preserve"> </w:t>
      </w:r>
      <w:r w:rsidRPr="009F0550">
        <w:rPr>
          <w:rFonts w:eastAsia="Calibri"/>
          <w:u w:val="single"/>
        </w:rPr>
        <w:t>A</w:t>
      </w:r>
      <w:r w:rsidRPr="009F0550">
        <w:rPr>
          <w:rFonts w:eastAsia="Calibri"/>
        </w:rPr>
        <w:t xml:space="preserve"> </w:t>
      </w:r>
      <w:r w:rsidRPr="009F0550">
        <w:rPr>
          <w:rFonts w:eastAsia="Calibri"/>
          <w:u w:color="000000"/>
        </w:rPr>
        <w:t xml:space="preserve">member of the General Assembly may </w:t>
      </w:r>
      <w:r w:rsidRPr="009F0550">
        <w:rPr>
          <w:rFonts w:eastAsia="Calibri"/>
          <w:u w:val="single"/>
        </w:rPr>
        <w:t>not</w:t>
      </w:r>
      <w:r w:rsidRPr="009F0550">
        <w:rPr>
          <w:rFonts w:eastAsia="Calibri"/>
        </w:rPr>
        <w:t xml:space="preserve"> </w:t>
      </w:r>
      <w:r w:rsidRPr="009F0550">
        <w:rPr>
          <w:rFonts w:eastAsia="Calibri"/>
          <w:u w:color="000000"/>
        </w:rPr>
        <w:t>be elected to a judicial office while he is serving in the General Assembly nor shall that person be elected to a judicial office for a period of one year after he either:</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lastRenderedPageBreak/>
        <w:tab/>
      </w:r>
      <w:r w:rsidRPr="009F0550">
        <w:rPr>
          <w:rFonts w:eastAsia="Calibri"/>
          <w:u w:color="000000"/>
        </w:rPr>
        <w:tab/>
        <w:t>(1)</w:t>
      </w:r>
      <w:r w:rsidRPr="009F0550">
        <w:rPr>
          <w:rFonts w:eastAsia="Calibri"/>
          <w:u w:color="000000"/>
        </w:rPr>
        <w:tab/>
        <w:t>ceases to be a member of the General Assembly; or</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0550">
        <w:rPr>
          <w:rFonts w:eastAsia="Calibri"/>
          <w:u w:color="000000"/>
        </w:rPr>
        <w:tab/>
      </w:r>
      <w:r w:rsidRPr="009F0550">
        <w:rPr>
          <w:rFonts w:eastAsia="Calibri"/>
          <w:u w:color="000000"/>
        </w:rPr>
        <w:tab/>
        <w:t>(2)</w:t>
      </w:r>
      <w:r w:rsidRPr="009F0550">
        <w:rPr>
          <w:rFonts w:eastAsia="Calibri"/>
          <w:u w:color="000000"/>
        </w:rPr>
        <w:tab/>
        <w:t>fails to file for election to the General Assembly in accordance with Section 7</w:t>
      </w:r>
      <w:r w:rsidRPr="009F0550">
        <w:rPr>
          <w:u w:color="000000" w:themeColor="text1"/>
        </w:rPr>
        <w:noBreakHyphen/>
      </w:r>
      <w:r w:rsidRPr="009F0550">
        <w:rPr>
          <w:rFonts w:eastAsia="Calibri"/>
          <w:u w:color="000000"/>
        </w:rPr>
        <w:t>11</w:t>
      </w:r>
      <w:r w:rsidRPr="009F0550">
        <w:rPr>
          <w:u w:color="000000" w:themeColor="text1"/>
        </w:rPr>
        <w:noBreakHyphen/>
      </w:r>
      <w:r w:rsidRPr="009F0550">
        <w:rPr>
          <w:rFonts w:eastAsia="Calibri"/>
          <w:u w:color="000000"/>
        </w:rPr>
        <w:t>15.</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0550">
        <w:rPr>
          <w:rFonts w:eastAsia="Calibri"/>
          <w:u w:color="000000"/>
        </w:rPr>
        <w:tab/>
      </w:r>
      <w:r w:rsidRPr="009F0550">
        <w:rPr>
          <w:rFonts w:eastAsia="Calibri"/>
          <w:u w:val="single"/>
        </w:rPr>
        <w:t>Provided, however, a member of the General Assembly is not ineligible to be elected to an at</w:t>
      </w:r>
      <w:r w:rsidRPr="009F0550">
        <w:rPr>
          <w:rFonts w:eastAsia="Calibri"/>
          <w:u w:val="single"/>
        </w:rPr>
        <w:noBreakHyphen/>
        <w:t>large judicial office.</w:t>
      </w:r>
      <w:r w:rsidRPr="009F0550">
        <w:t xml:space="preserve">”/ </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the bill further, Page 6, after Line 9, by adding an appropriately numbered SECTION TO READ:</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tab/>
      </w:r>
      <w:r w:rsidRPr="009F0550">
        <w:t>/</w:t>
      </w:r>
      <w:r w:rsidRPr="009F0550">
        <w:tab/>
      </w:r>
      <w:bookmarkStart w:id="0" w:name="temp"/>
      <w:bookmarkEnd w:id="0"/>
      <w:r w:rsidRPr="009F0550">
        <w:t>SECTION</w:t>
      </w:r>
      <w:r w:rsidRPr="009F0550">
        <w:tab/>
        <w:t>__.</w:t>
      </w:r>
      <w:r w:rsidRPr="009F0550">
        <w:tab/>
        <w:t>Section 1</w:t>
      </w:r>
      <w:r w:rsidRPr="009F0550">
        <w:noBreakHyphen/>
        <w:t>23</w:t>
      </w:r>
      <w:r w:rsidRPr="009F0550">
        <w:noBreakHyphen/>
        <w:t>525 of the 1976 Code is repealed.  /</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Renumber sections to conform.</w:t>
      </w:r>
    </w:p>
    <w:p w:rsid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550">
        <w:t>Amend title to conform.</w:t>
      </w:r>
    </w:p>
    <w:p w:rsidR="009F2E78" w:rsidRPr="009F0550"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F2E78" w:rsidRPr="009F2E78" w:rsidRDefault="009F2E78" w:rsidP="009F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E78" w:rsidRDefault="009F2E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2E78" w:rsidSect="009F2E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165D" w:rsidRDefault="008A1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20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E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rFonts w:eastAsia="Calibri"/>
          <w:color w:val="000000"/>
          <w:u w:color="000000"/>
        </w:rPr>
        <w:t>TO</w:t>
      </w:r>
      <w:r w:rsidR="00720C7E">
        <w:rPr>
          <w:rFonts w:eastAsia="Calibri"/>
          <w:color w:val="000000"/>
          <w:u w:color="000000"/>
        </w:rPr>
        <w:t xml:space="preserve"> AMEND SECTIONS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10, 2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20, 2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35, 2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70, 2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80, AND 2</w:t>
      </w:r>
      <w:r w:rsidR="00720C7E">
        <w:rPr>
          <w:color w:val="000000" w:themeColor="text1"/>
          <w:u w:color="000000" w:themeColor="text1"/>
        </w:rPr>
        <w:noBreakHyphen/>
      </w:r>
      <w:r w:rsidR="00720C7E">
        <w:rPr>
          <w:rFonts w:eastAsia="Calibri"/>
          <w:color w:val="000000"/>
          <w:u w:color="000000"/>
        </w:rPr>
        <w:t>19</w:t>
      </w:r>
      <w:r w:rsidR="00720C7E">
        <w:rPr>
          <w:color w:val="000000" w:themeColor="text1"/>
          <w:u w:color="000000" w:themeColor="text1"/>
        </w:rPr>
        <w:noBreakHyphen/>
      </w:r>
      <w:r w:rsidR="00720C7E">
        <w:rPr>
          <w:rFonts w:eastAsia="Calibri"/>
          <w:color w:val="000000"/>
          <w:u w:color="000000"/>
        </w:rPr>
        <w:t>90, CODE OF LAWS OF SOUTH CAROLINA, 1976, ALL RELATING TO THE JUDICIAL MERIT SELECTION COMMISSION, SO AS TO CHANGE THE COMMISSION</w:t>
      </w:r>
      <w:r w:rsidR="00720C7E">
        <w:rPr>
          <w:color w:val="000000" w:themeColor="text1"/>
          <w:u w:color="000000" w:themeColor="text1"/>
        </w:rPr>
        <w:t>’</w:t>
      </w:r>
      <w:r w:rsidR="00720C7E">
        <w:rPr>
          <w:rFonts w:eastAsia="Calibri"/>
          <w:color w:val="000000"/>
          <w:u w:color="000000"/>
        </w:rPr>
        <w:t>S PROCESS FOR NOMINATING JUDICIAL CANDIDATES FROM THE NOMINATION OF THREE QUALIFIED CANDIDATES TO THE RELEASE OF A LIST OF ALL QUALIFIED CANDIDATES TO THE GENERAL ASSEMBLY.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059" w:rsidRDefault="00A220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C7E" w:rsidRDefault="00A22059"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t>SECTION</w:t>
      </w:r>
      <w:r>
        <w:tab/>
        <w:t>1.</w:t>
      </w:r>
      <w:r>
        <w:tab/>
      </w:r>
      <w:r w:rsidR="00720C7E">
        <w:rPr>
          <w:bCs/>
          <w:color w:val="000000" w:themeColor="text1"/>
          <w:u w:color="000000" w:themeColor="text1"/>
        </w:rPr>
        <w:t>S</w:t>
      </w:r>
      <w:r w:rsidR="00720C7E">
        <w:rPr>
          <w:rFonts w:eastAsia="Calibri"/>
          <w:bCs/>
          <w:color w:val="000000"/>
          <w:u w:color="000000"/>
        </w:rPr>
        <w:t>ection 2</w:t>
      </w:r>
      <w:r w:rsidR="00720C7E">
        <w:rPr>
          <w:bCs/>
          <w:color w:val="000000" w:themeColor="text1"/>
          <w:u w:color="000000" w:themeColor="text1"/>
        </w:rPr>
        <w:noBreakHyphen/>
      </w:r>
      <w:r w:rsidR="00720C7E">
        <w:rPr>
          <w:rFonts w:eastAsia="Calibri"/>
          <w:bCs/>
          <w:color w:val="000000"/>
          <w:u w:color="000000"/>
        </w:rPr>
        <w:t>19</w:t>
      </w:r>
      <w:r w:rsidR="00720C7E">
        <w:rPr>
          <w:bCs/>
          <w:color w:val="000000" w:themeColor="text1"/>
          <w:u w:color="000000" w:themeColor="text1"/>
        </w:rPr>
        <w:noBreakHyphen/>
      </w:r>
      <w:r w:rsidR="00720C7E">
        <w:rPr>
          <w:rFonts w:eastAsia="Calibri"/>
          <w:bCs/>
          <w:color w:val="000000"/>
          <w:u w:color="000000"/>
        </w:rPr>
        <w:t>10(G)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w:t>
      </w:r>
      <w:r>
        <w:rPr>
          <w:rFonts w:eastAsia="Calibri"/>
          <w:color w:val="000000"/>
          <w:u w:color="000000"/>
        </w:rPr>
        <w:t>(G)</w:t>
      </w:r>
      <w:r>
        <w:rPr>
          <w:rFonts w:eastAsia="Calibri"/>
          <w:color w:val="000000"/>
          <w:u w:color="000000"/>
        </w:rPr>
        <w:tab/>
        <w:t xml:space="preserve">No member of the Judicial Merit Selection Commission is eligible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and appointment as a judge or justice of the state court system or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while serving on the commission and for a period of one year thereafter.</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2.</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20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2-19-20.</w:t>
      </w:r>
      <w:r>
        <w:rPr>
          <w:color w:val="000000" w:themeColor="text1"/>
          <w:u w:color="000000" w:themeColor="text1"/>
        </w:rPr>
        <w:tab/>
      </w:r>
      <w:r>
        <w:rPr>
          <w:rFonts w:eastAsia="Calibri"/>
          <w:color w:val="000000"/>
          <w:u w:color="000000"/>
        </w:rPr>
        <w:t xml:space="preserve">(A) It is the responsibility of the Judicial Merit Selection Commission to determine when judicial vacancies are to occur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and on the family court, circuit court, court of appeals, or Supreme Court and to expeditiously investigate in advance the qualifications of those who seek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For purposes of this chapter, a vacancy is created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Pr>
          <w:rFonts w:eastAsia="Calibri"/>
          <w:color w:val="000000"/>
          <w:u w:color="000000"/>
        </w:rPr>
        <w:t xml:space="preserve">election, shall notify the Supreme Court of the vacancy for publication in the advance sheets provided by the Clerk of the Supreme Court at least thirty days prior to closing applications for the vacancy.  The commission </w:t>
      </w:r>
      <w:r>
        <w:rPr>
          <w:rFonts w:eastAsia="Calibri"/>
          <w:color w:val="000000"/>
          <w:u w:val="single" w:color="000000"/>
        </w:rPr>
        <w:t>also</w:t>
      </w:r>
      <w:r>
        <w:rPr>
          <w:rFonts w:eastAsia="Calibri"/>
          <w:color w:val="000000"/>
          <w:u w:color="000000"/>
        </w:rPr>
        <w:t xml:space="preserve"> shall </w:t>
      </w:r>
      <w:r>
        <w:rPr>
          <w:rFonts w:eastAsia="Calibri"/>
          <w:color w:val="000000"/>
          <w:u w:val="single" w:color="000000"/>
        </w:rPr>
        <w:t>notify</w:t>
      </w:r>
      <w:r>
        <w:rPr>
          <w:rFonts w:eastAsia="Calibri"/>
          <w:color w:val="000000"/>
          <w:u w:color="000000"/>
        </w:rPr>
        <w:t xml:space="preserve">, if practicable, </w:t>
      </w:r>
      <w:r w:rsidRPr="00720C7E">
        <w:rPr>
          <w:rFonts w:eastAsia="Calibri"/>
          <w:strike/>
          <w:color w:val="000000"/>
          <w:u w:color="000000"/>
        </w:rPr>
        <w:t>also notify</w:t>
      </w:r>
      <w:r>
        <w:rPr>
          <w:rFonts w:eastAsia="Calibri"/>
          <w:color w:val="000000"/>
          <w:u w:color="000000"/>
        </w:rPr>
        <w:t xml:space="preserve"> the South Carolina Bar,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 xml:space="preserve">The Judicial Merit Selection Commission shall announce and publicize vacancies and forthcoming vacancies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on the family court, circuit court, court of appeals, and Supreme Court. A person who desires to be considered for </w:t>
      </w:r>
      <w:r>
        <w:rPr>
          <w:rFonts w:eastAsia="Calibri"/>
          <w:strike/>
          <w:color w:val="000000"/>
          <w:u w:color="000000"/>
        </w:rPr>
        <w:t>nomination</w:t>
      </w:r>
      <w:r>
        <w:rPr>
          <w:rFonts w:eastAsia="Calibri"/>
          <w:color w:val="000000"/>
          <w:u w:color="000000"/>
        </w:rPr>
        <w:t xml:space="preserve"> </w:t>
      </w:r>
      <w:r>
        <w:rPr>
          <w:rFonts w:eastAsia="Calibri"/>
          <w:color w:val="000000"/>
          <w:u w:val="single" w:color="000000"/>
        </w:rPr>
        <w:t>election</w:t>
      </w:r>
      <w:r>
        <w:rPr>
          <w:rFonts w:eastAsia="Calibri"/>
          <w:color w:val="000000"/>
          <w:u w:color="000000"/>
        </w:rPr>
        <w:t xml:space="preserve"> as justice or judge may make application to the commission. No person may concurrently seek more than one judicial vacancy. The commission shall announce the names of those persons who have applied. </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This agency shall </w:t>
      </w:r>
      <w:r>
        <w:rPr>
          <w:rFonts w:eastAsia="Calibri"/>
          <w:color w:val="000000"/>
          <w:u w:val="single" w:color="000000"/>
        </w:rPr>
        <w:t>cooperate</w:t>
      </w:r>
      <w:r>
        <w:rPr>
          <w:rFonts w:eastAsia="Calibri"/>
          <w:color w:val="000000"/>
          <w:u w:color="000000"/>
        </w:rPr>
        <w:t xml:space="preserve">, upon request, </w:t>
      </w:r>
      <w:r w:rsidRPr="00720C7E">
        <w:rPr>
          <w:rFonts w:eastAsia="Calibri"/>
          <w:strike/>
          <w:color w:val="000000"/>
          <w:u w:color="000000"/>
        </w:rPr>
        <w:t>cooperate</w:t>
      </w:r>
      <w:r>
        <w:rPr>
          <w:rFonts w:eastAsia="Calibri"/>
          <w:color w:val="000000"/>
          <w:u w:color="000000"/>
        </w:rPr>
        <w:t xml:space="preserve"> fully with the commission.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3.</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35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“Section 2-19-35.</w:t>
      </w:r>
      <w:r>
        <w:rPr>
          <w:rFonts w:eastAsia="Calibri"/>
          <w:color w:val="000000"/>
          <w:u w:color="000000"/>
        </w:rPr>
        <w:tab/>
        <w:t>(A)</w:t>
      </w:r>
      <w:r>
        <w:rPr>
          <w:rFonts w:eastAsia="Calibri"/>
          <w:color w:val="000000"/>
          <w:u w:color="000000"/>
        </w:rPr>
        <w:tab/>
        <w:t xml:space="preserve">The responsibility of the Judicial Merit Selection Commission is to investigate and consider the qualifications of the candidates for judicial office in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or on the family court, circuit court, court of appeals, or Supreme Court.  Investigations and consideration of the commission should include, but are not limited to, the following areas: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constitutional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ethical fitness;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t>professional and academic 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t>character;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(5)</w:t>
      </w:r>
      <w:r>
        <w:rPr>
          <w:rFonts w:eastAsia="Calibri"/>
          <w:color w:val="000000"/>
          <w:u w:color="000000"/>
        </w:rPr>
        <w:tab/>
        <w:t>reputation;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(6)</w:t>
      </w:r>
      <w:r>
        <w:rPr>
          <w:rFonts w:eastAsia="Calibri"/>
          <w:color w:val="000000"/>
          <w:u w:color="000000"/>
        </w:rPr>
        <w:tab/>
        <w:t>physical health;</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(7)</w:t>
      </w:r>
      <w:r>
        <w:rPr>
          <w:rFonts w:eastAsia="Calibri"/>
          <w:color w:val="000000"/>
          <w:u w:color="000000"/>
        </w:rPr>
        <w:tab/>
        <w:t>mental stability;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(8)</w:t>
      </w:r>
      <w:r>
        <w:rPr>
          <w:rFonts w:eastAsia="Calibri"/>
          <w:color w:val="000000"/>
          <w:u w:color="000000"/>
        </w:rPr>
        <w:tab/>
        <w:t>experience; and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(9)</w:t>
      </w:r>
      <w:r>
        <w:rPr>
          <w:rFonts w:eastAsia="Calibri"/>
          <w:color w:val="000000"/>
          <w:u w:color="000000"/>
        </w:rPr>
        <w:tab/>
        <w:t>judicial temperament.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In </w:t>
      </w:r>
      <w:r>
        <w:rPr>
          <w:rFonts w:eastAsia="Calibri"/>
          <w:strike/>
          <w:color w:val="000000"/>
          <w:u w:color="000000"/>
        </w:rPr>
        <w:t>making nominations</w:t>
      </w:r>
      <w:r>
        <w:rPr>
          <w:rFonts w:eastAsia="Calibri"/>
          <w:color w:val="000000"/>
          <w:u w:color="000000"/>
        </w:rPr>
        <w:t xml:space="preserve"> </w:t>
      </w:r>
      <w:r>
        <w:rPr>
          <w:rFonts w:eastAsia="Calibri"/>
          <w:color w:val="000000"/>
          <w:u w:val="single" w:color="000000"/>
        </w:rPr>
        <w:t>determining qualifications</w:t>
      </w:r>
      <w:r>
        <w:rPr>
          <w:rFonts w:eastAsia="Calibri"/>
          <w:color w:val="000000"/>
          <w:u w:color="000000"/>
        </w:rPr>
        <w:t>, race, gender, national origin, and other demographic factors should be considered by the commission to ensure nondiscrimination to the greatest extent possible as to all segments of the population of the State.</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4.</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70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2-19-7</w:t>
      </w:r>
      <w:r w:rsidR="001C1EC5">
        <w:rPr>
          <w:color w:val="000000" w:themeColor="text1"/>
          <w:u w:color="000000" w:themeColor="text1"/>
        </w:rPr>
        <w:t>0</w:t>
      </w:r>
      <w:r w:rsidR="008D4E65">
        <w:rPr>
          <w:color w:val="000000" w:themeColor="text1"/>
          <w:u w:color="000000" w:themeColor="text1"/>
        </w:rPr>
        <w:t>.</w:t>
      </w:r>
      <w:r w:rsidR="008D4E65">
        <w:rPr>
          <w:color w:val="000000" w:themeColor="text1"/>
          <w:u w:color="000000" w:themeColor="text1"/>
        </w:rPr>
        <w:tab/>
      </w:r>
      <w:r>
        <w:rPr>
          <w:rFonts w:eastAsia="Calibri"/>
          <w:color w:val="000000"/>
          <w:u w:color="000000"/>
        </w:rPr>
        <w:t>(A)</w:t>
      </w:r>
      <w:r>
        <w:rPr>
          <w:rFonts w:eastAsia="Calibri"/>
          <w:color w:val="000000"/>
          <w:u w:color="000000"/>
        </w:rPr>
        <w:tab/>
        <w:t>No member of the General Assembly may be elected to a judicial office while he is serving in the General Assembly nor shall that person be elected to a judicial office for a period of one year after he either: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t>ceases to be a member of the General Assembly; or</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fails to file for election to the General Assembly in accordance with Section 7</w:t>
      </w:r>
      <w:r>
        <w:rPr>
          <w:color w:val="000000" w:themeColor="text1"/>
          <w:u w:color="000000" w:themeColor="text1"/>
        </w:rPr>
        <w:noBreakHyphen/>
      </w:r>
      <w:r>
        <w:rPr>
          <w:rFonts w:eastAsia="Calibri"/>
          <w:color w:val="000000"/>
          <w:u w:color="000000"/>
        </w:rPr>
        <w:t>11</w:t>
      </w:r>
      <w:r>
        <w:rPr>
          <w:color w:val="000000" w:themeColor="text1"/>
          <w:u w:color="000000" w:themeColor="text1"/>
        </w:rPr>
        <w:noBreakHyphen/>
      </w:r>
      <w:r>
        <w:rPr>
          <w:rFonts w:eastAsia="Calibri"/>
          <w:color w:val="000000"/>
          <w:u w:color="000000"/>
        </w:rPr>
        <w:t>15.</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The privilege of the floor in either house of the General Assembly may not be granted to any candidate or any immediate family member of a candidate unless the family member is serving in the General Assembly, during the time the candidate</w:t>
      </w:r>
      <w:r>
        <w:rPr>
          <w:color w:val="000000" w:themeColor="text1"/>
          <w:u w:color="000000" w:themeColor="text1"/>
        </w:rPr>
        <w:t>’</w:t>
      </w:r>
      <w:r>
        <w:rPr>
          <w:rFonts w:eastAsia="Calibri"/>
          <w:color w:val="000000"/>
          <w:u w:color="000000"/>
        </w:rPr>
        <w:t xml:space="preserve">s application is pending before the commission and during the time </w:t>
      </w:r>
      <w:r>
        <w:rPr>
          <w:rFonts w:eastAsia="Calibri"/>
          <w:strike/>
          <w:color w:val="000000"/>
          <w:u w:color="000000"/>
        </w:rPr>
        <w:t>his nomination by the commission</w:t>
      </w:r>
      <w:r>
        <w:rPr>
          <w:rFonts w:eastAsia="Calibri"/>
          <w:color w:val="000000"/>
          <w:u w:color="000000"/>
        </w:rPr>
        <w:t xml:space="preserve"> </w:t>
      </w:r>
      <w:r>
        <w:rPr>
          <w:rFonts w:eastAsia="Calibri"/>
          <w:color w:val="000000"/>
          <w:u w:val="single" w:color="000000"/>
        </w:rPr>
        <w:t>he is listed as qualified</w:t>
      </w:r>
      <w:r>
        <w:rPr>
          <w:rFonts w:eastAsia="Calibri"/>
          <w:color w:val="000000"/>
          <w:u w:color="000000"/>
        </w:rPr>
        <w:t xml:space="preserve"> for election to a particular judicial office </w:t>
      </w:r>
      <w:r>
        <w:rPr>
          <w:rFonts w:eastAsia="Calibri"/>
          <w:color w:val="000000"/>
          <w:u w:val="single" w:color="000000"/>
        </w:rPr>
        <w:t>by the commission and that election</w:t>
      </w:r>
      <w:r>
        <w:rPr>
          <w:rFonts w:eastAsia="Calibri"/>
          <w:color w:val="000000"/>
          <w:u w:color="000000"/>
        </w:rPr>
        <w:t xml:space="preserve"> is pending in the General Assembly.</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w:t>
      </w:r>
      <w:r>
        <w:rPr>
          <w:rFonts w:eastAsia="Calibri"/>
          <w:color w:val="000000"/>
          <w:u w:color="000000"/>
        </w:rPr>
        <w:tab/>
        <w:t>No candidate for judicial office may seek directly or indirectly the pledge of a member of the General Assembly</w:t>
      </w:r>
      <w:r>
        <w:rPr>
          <w:color w:val="000000" w:themeColor="text1"/>
          <w:u w:color="000000" w:themeColor="text1"/>
        </w:rPr>
        <w:t>’</w:t>
      </w:r>
      <w:r>
        <w:rPr>
          <w:rFonts w:eastAsia="Calibri"/>
          <w:color w:val="000000"/>
          <w:u w:color="000000"/>
        </w:rPr>
        <w:t xml:space="preserve">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rFonts w:eastAsia="Calibri"/>
          <w:strike/>
          <w:color w:val="000000"/>
          <w:u w:color="000000"/>
        </w:rPr>
        <w:t>its nominees</w:t>
      </w:r>
      <w:r>
        <w:rPr>
          <w:rFonts w:eastAsia="Calibri"/>
          <w:color w:val="000000"/>
          <w:u w:color="000000"/>
        </w:rPr>
        <w:t xml:space="preserve"> </w:t>
      </w:r>
      <w:r>
        <w:rPr>
          <w:rFonts w:eastAsia="Calibri"/>
          <w:color w:val="000000"/>
          <w:u w:val="single" w:color="000000"/>
        </w:rPr>
        <w:t>the candidates</w:t>
      </w:r>
      <w:r>
        <w:rPr>
          <w:rFonts w:eastAsia="Calibri"/>
          <w:color w:val="000000"/>
          <w:u w:color="000000"/>
        </w:rPr>
        <w:t xml:space="preserve"> to the General Assembly.  The formal release of the report of qualifications shall occur no earlier than forty</w:t>
      </w:r>
      <w:r>
        <w:rPr>
          <w:color w:val="000000" w:themeColor="text1"/>
          <w:u w:color="000000" w:themeColor="text1"/>
        </w:rPr>
        <w:noBreakHyphen/>
      </w:r>
      <w:r>
        <w:rPr>
          <w:rFonts w:eastAsia="Calibri"/>
          <w:color w:val="000000"/>
          <w:u w:color="000000"/>
        </w:rPr>
        <w:t xml:space="preserve">eight hours after the </w:t>
      </w:r>
      <w:r>
        <w:rPr>
          <w:rFonts w:eastAsia="Calibri"/>
          <w:strike/>
          <w:color w:val="000000"/>
          <w:u w:color="000000"/>
        </w:rPr>
        <w:t>nominees have been</w:t>
      </w:r>
      <w:r>
        <w:rPr>
          <w:rFonts w:eastAsia="Calibri"/>
          <w:color w:val="000000"/>
          <w:u w:color="000000"/>
        </w:rPr>
        <w:t xml:space="preserve"> </w:t>
      </w:r>
      <w:r>
        <w:rPr>
          <w:rFonts w:eastAsia="Calibri"/>
          <w:color w:val="000000"/>
          <w:u w:val="single" w:color="000000"/>
        </w:rPr>
        <w:t>list of qualified candidates</w:t>
      </w:r>
      <w:r w:rsidRPr="00244BE7">
        <w:rPr>
          <w:rFonts w:eastAsia="Calibri"/>
          <w:color w:val="000000"/>
          <w:u w:val="single" w:color="000000"/>
        </w:rPr>
        <w:t xml:space="preserve"> is</w:t>
      </w:r>
      <w:r>
        <w:rPr>
          <w:rFonts w:eastAsia="Calibri"/>
          <w:color w:val="000000"/>
          <w:u w:color="000000"/>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the list of qualified candidates</w:t>
      </w:r>
      <w:r>
        <w:rPr>
          <w:rFonts w:eastAsia="Calibri"/>
          <w:color w:val="000000"/>
          <w:u w:color="000000"/>
        </w:rPr>
        <w:t xml:space="preserve"> for that office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formally made by the commission.  he prohibitions of this section do not extend to an announcement of candidacy by the candidate and statements by the candidate detailing the candidate</w:t>
      </w:r>
      <w:r>
        <w:rPr>
          <w:color w:val="000000" w:themeColor="text1"/>
          <w:u w:color="000000" w:themeColor="text1"/>
        </w:rPr>
        <w:t>’</w:t>
      </w:r>
      <w:r>
        <w:rPr>
          <w:rFonts w:eastAsia="Calibri"/>
          <w:color w:val="000000"/>
          <w:u w:color="000000"/>
        </w:rPr>
        <w:t>s qualifications.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No member of the General Assembly may trade anything of value, including pledges to vote for legislation or for other candidates, in exchange for another member</w:t>
      </w:r>
      <w:r>
        <w:rPr>
          <w:color w:val="000000" w:themeColor="text1"/>
          <w:u w:color="000000" w:themeColor="text1"/>
        </w:rPr>
        <w:t>’</w:t>
      </w:r>
      <w:r>
        <w:rPr>
          <w:rFonts w:eastAsia="Calibri"/>
          <w:color w:val="000000"/>
          <w:u w:color="000000"/>
        </w:rPr>
        <w:t>s pledge to vote for a candidate for judicial office.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Violations of this section may be considered by the merit selection commission when it considers the candidate</w:t>
      </w:r>
      <w:r>
        <w:rPr>
          <w:color w:val="000000" w:themeColor="text1"/>
          <w:u w:color="000000" w:themeColor="text1"/>
        </w:rPr>
        <w:t>’</w:t>
      </w:r>
      <w:r>
        <w:rPr>
          <w:rFonts w:eastAsia="Calibri"/>
          <w:color w:val="000000"/>
          <w:u w:color="000000"/>
        </w:rPr>
        <w:t>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Pr>
          <w:color w:val="000000" w:themeColor="text1"/>
          <w:u w:color="000000" w:themeColor="text1"/>
        </w:rPr>
        <w:noBreakHyphen/>
      </w:r>
      <w:r>
        <w:rPr>
          <w:rFonts w:eastAsia="Calibri"/>
          <w:color w:val="000000"/>
          <w:u w:color="000000"/>
        </w:rPr>
        <w:t>3</w:t>
      </w:r>
      <w:r>
        <w:rPr>
          <w:color w:val="000000" w:themeColor="text1"/>
          <w:u w:color="000000" w:themeColor="text1"/>
        </w:rPr>
        <w:noBreakHyphen/>
      </w:r>
      <w:r>
        <w:rPr>
          <w:rFonts w:eastAsia="Calibri"/>
          <w:color w:val="000000"/>
          <w:u w:color="000000"/>
        </w:rPr>
        <w:t>545.</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5.</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80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color w:val="000000" w:themeColor="text1"/>
          <w:u w:color="000000" w:themeColor="text1"/>
        </w:rPr>
        <w:t>“Section 2-19-80.</w:t>
      </w:r>
      <w:r>
        <w:rPr>
          <w:color w:val="000000" w:themeColor="text1"/>
          <w:u w:color="000000" w:themeColor="text1"/>
        </w:rPr>
        <w:tab/>
      </w:r>
      <w:r>
        <w:rPr>
          <w:rFonts w:eastAsia="Calibri"/>
          <w:color w:val="000000"/>
          <w:u w:color="000000"/>
        </w:rPr>
        <w:t>(A)</w:t>
      </w:r>
      <w:r>
        <w:rPr>
          <w:rFonts w:eastAsia="Calibri"/>
          <w:color w:val="000000"/>
          <w:u w:color="000000"/>
        </w:rPr>
        <w:tab/>
        <w:t xml:space="preserve">The commission shall </w:t>
      </w:r>
      <w:r>
        <w:rPr>
          <w:rFonts w:eastAsia="Calibri"/>
          <w:strike/>
          <w:color w:val="000000"/>
          <w:u w:color="000000"/>
        </w:rPr>
        <w:t>make nominations</w:t>
      </w:r>
      <w:r>
        <w:rPr>
          <w:rFonts w:eastAsia="Calibri"/>
          <w:color w:val="000000"/>
          <w:u w:color="000000"/>
        </w:rPr>
        <w:t xml:space="preserve"> </w:t>
      </w:r>
      <w:r>
        <w:rPr>
          <w:rFonts w:eastAsia="Calibri"/>
          <w:color w:val="000000"/>
          <w:u w:val="single" w:color="000000"/>
        </w:rPr>
        <w:t>release</w:t>
      </w:r>
      <w:r>
        <w:rPr>
          <w:rFonts w:eastAsia="Calibri"/>
          <w:color w:val="000000"/>
          <w:u w:color="000000"/>
        </w:rPr>
        <w:t xml:space="preserve"> to the General Assembly </w:t>
      </w:r>
      <w:r>
        <w:rPr>
          <w:rFonts w:eastAsia="Calibri"/>
          <w:strike/>
          <w:color w:val="000000"/>
          <w:u w:color="000000"/>
        </w:rPr>
        <w:t>of candidates and their qualifications</w:t>
      </w:r>
      <w:r>
        <w:rPr>
          <w:rFonts w:eastAsia="Calibri"/>
          <w:color w:val="000000"/>
          <w:u w:color="000000"/>
        </w:rPr>
        <w:t xml:space="preserve"> </w:t>
      </w:r>
      <w:r>
        <w:rPr>
          <w:rFonts w:eastAsia="Calibri"/>
          <w:color w:val="000000"/>
          <w:u w:val="single" w:color="000000"/>
        </w:rPr>
        <w:t>a list of the names of all candidates that are qualified, as provided in Sections 15 and 27, Article V of the Constitution of this State and Section 2</w:t>
      </w:r>
      <w:r>
        <w:rPr>
          <w:color w:val="000000" w:themeColor="text1"/>
          <w:u w:val="single" w:color="000000" w:themeColor="text1"/>
        </w:rPr>
        <w:noBreakHyphen/>
      </w:r>
      <w:r>
        <w:rPr>
          <w:rFonts w:eastAsia="Calibri"/>
          <w:color w:val="000000"/>
          <w:u w:val="single" w:color="000000"/>
        </w:rPr>
        <w:t>19</w:t>
      </w:r>
      <w:r>
        <w:rPr>
          <w:color w:val="000000" w:themeColor="text1"/>
          <w:u w:val="single" w:color="000000" w:themeColor="text1"/>
        </w:rPr>
        <w:noBreakHyphen/>
      </w:r>
      <w:r>
        <w:rPr>
          <w:rFonts w:eastAsia="Calibri"/>
          <w:color w:val="000000"/>
          <w:u w:val="single" w:color="000000"/>
        </w:rPr>
        <w:t>35,</w:t>
      </w:r>
      <w:r>
        <w:rPr>
          <w:rFonts w:eastAsia="Calibri"/>
          <w:color w:val="000000"/>
          <w:u w:color="000000"/>
        </w:rPr>
        <w:t xml:space="preserve"> for election to the Supreme Court, court of appeals, circuit court, family court, and the administrative law </w:t>
      </w:r>
      <w:r w:rsidRPr="00720C7E">
        <w:rPr>
          <w:rFonts w:eastAsia="Calibri"/>
          <w:strike/>
          <w:color w:val="000000"/>
          <w:u w:color="000000"/>
        </w:rPr>
        <w:t>judge division</w:t>
      </w:r>
      <w:r>
        <w:rPr>
          <w:rFonts w:eastAsia="Calibri"/>
          <w:color w:val="000000"/>
          <w:u w:color="000000"/>
        </w:rPr>
        <w:t xml:space="preserve"> </w:t>
      </w:r>
      <w:r>
        <w:rPr>
          <w:rFonts w:eastAsia="Calibri"/>
          <w:color w:val="000000"/>
          <w:u w:val="single" w:color="000000"/>
        </w:rPr>
        <w:t>court</w:t>
      </w:r>
      <w:r>
        <w:rPr>
          <w:rFonts w:eastAsia="Calibri"/>
          <w:color w:val="000000"/>
          <w:u w:color="000000"/>
        </w:rPr>
        <w:t xml:space="preserve">.  </w:t>
      </w:r>
      <w:r>
        <w:rPr>
          <w:rFonts w:eastAsia="Calibri"/>
          <w:strike/>
          <w:color w:val="000000"/>
          <w:u w:color="000000"/>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(B)</w:t>
      </w:r>
      <w:r>
        <w:rPr>
          <w:rFonts w:eastAsia="Calibri"/>
          <w:color w:val="000000"/>
          <w:u w:color="000000"/>
        </w:rPr>
        <w:tab/>
        <w:t xml:space="preserve">The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of the commission for any judgeship </w:t>
      </w:r>
      <w:r>
        <w:rPr>
          <w:rFonts w:eastAsia="Calibri"/>
          <w:strike/>
          <w:color w:val="000000"/>
          <w:u w:color="000000"/>
        </w:rPr>
        <w:t>are</w:t>
      </w:r>
      <w:r>
        <w:rPr>
          <w:rFonts w:eastAsia="Calibri"/>
          <w:color w:val="000000"/>
          <w:u w:color="000000"/>
        </w:rPr>
        <w:t xml:space="preserve"> </w:t>
      </w:r>
      <w:r>
        <w:rPr>
          <w:rFonts w:eastAsia="Calibri"/>
          <w:color w:val="000000"/>
          <w:u w:val="single" w:color="000000"/>
        </w:rPr>
        <w:t>is</w:t>
      </w:r>
      <w:r>
        <w:rPr>
          <w:rFonts w:eastAsia="Calibri"/>
          <w:color w:val="000000"/>
          <w:u w:color="000000"/>
        </w:rPr>
        <w:t xml:space="preserve"> binding on the General Assembly, and it shall not elect a person not </w:t>
      </w:r>
      <w:r>
        <w:rPr>
          <w:rFonts w:eastAsia="Calibri"/>
          <w:strike/>
          <w:color w:val="000000"/>
          <w:u w:color="000000"/>
        </w:rPr>
        <w:t>nominated</w:t>
      </w:r>
      <w:r>
        <w:rPr>
          <w:rFonts w:eastAsia="Calibri"/>
          <w:color w:val="000000"/>
          <w:u w:color="000000"/>
        </w:rPr>
        <w:t xml:space="preserve"> </w:t>
      </w:r>
      <w:r>
        <w:rPr>
          <w:rFonts w:eastAsia="Calibri"/>
          <w:color w:val="000000"/>
          <w:u w:val="single" w:color="000000"/>
        </w:rPr>
        <w:t>found qualified</w:t>
      </w:r>
      <w:r>
        <w:rPr>
          <w:rFonts w:eastAsia="Calibri"/>
          <w:color w:val="000000"/>
          <w:u w:color="000000"/>
        </w:rPr>
        <w:t xml:space="preserve"> by the commission.  </w:t>
      </w:r>
      <w:r>
        <w:rPr>
          <w:rFonts w:eastAsia="Calibri"/>
          <w:strike/>
          <w:color w:val="000000"/>
          <w:u w:color="000000"/>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(C)(1)</w:t>
      </w:r>
      <w:r>
        <w:rPr>
          <w:rFonts w:eastAsia="Calibri"/>
          <w:color w:val="000000"/>
          <w:u w:color="000000"/>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Pr>
          <w:rFonts w:eastAsia="Calibri"/>
          <w:color w:val="000000"/>
          <w:u w:color="000000"/>
        </w:rPr>
        <w:t>election and upon expiration of his then current term of office, he shall cease serving in that judicial position.</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rFonts w:eastAsia="Calibri"/>
          <w:strike/>
          <w:color w:val="000000"/>
          <w:u w:color="000000"/>
        </w:rPr>
        <w:t>to make other nominations for the office</w:t>
      </w:r>
      <w:r>
        <w:rPr>
          <w:rFonts w:eastAsia="Calibri"/>
          <w:color w:val="000000"/>
          <w:u w:color="000000"/>
        </w:rPr>
        <w:t xml:space="preserve"> as though a new vacancy without an incumbent exists in that office, including reopening the application process with all required notices.  Nothing prevents the commission from including in its new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the names and qualifications of persons other than the incumbent judge it included in its previous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w:t>
      </w:r>
      <w:r>
        <w:rPr>
          <w:rFonts w:eastAsia="Calibri"/>
          <w:color w:val="000000"/>
          <w:u w:color="000000"/>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(D)</w:t>
      </w:r>
      <w:r>
        <w:rPr>
          <w:rFonts w:eastAsia="Calibri"/>
          <w:color w:val="000000"/>
          <w:u w:color="000000"/>
        </w:rPr>
        <w:tab/>
        <w:t xml:space="preserve">The commission shall accompany its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to the General Assembly with reports or recommendations as to the qualifications of particular candidates.</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t>(E)</w:t>
      </w:r>
      <w:r>
        <w:rPr>
          <w:rFonts w:eastAsia="Calibri"/>
          <w:color w:val="000000"/>
          <w:u w:color="000000"/>
        </w:rPr>
        <w:tab/>
        <w:t>A period of at least two weeks must elapse between the date of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nominations</w:t>
      </w:r>
      <w:r>
        <w:rPr>
          <w:rFonts w:eastAsia="Calibri"/>
          <w:color w:val="000000"/>
          <w:u w:color="000000"/>
        </w:rPr>
        <w:t xml:space="preserve"> </w:t>
      </w:r>
      <w:r>
        <w:rPr>
          <w:rFonts w:eastAsia="Calibri"/>
          <w:color w:val="000000"/>
          <w:u w:val="single" w:color="000000"/>
        </w:rPr>
        <w:t>release of its list of qualified candidates</w:t>
      </w:r>
      <w:r>
        <w:rPr>
          <w:rFonts w:eastAsia="Calibri"/>
          <w:color w:val="000000"/>
          <w:u w:color="000000"/>
        </w:rPr>
        <w:t xml:space="preserve"> to the General Assembly and the date the General Assembly conducts the election for these judgeships.</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6.</w:t>
      </w:r>
      <w:r>
        <w:rPr>
          <w:rFonts w:eastAsia="Calibri"/>
          <w:bCs/>
          <w:color w:val="000000"/>
          <w:u w:color="000000"/>
        </w:rPr>
        <w:tab/>
        <w:t>Section 2</w:t>
      </w:r>
      <w:r>
        <w:rPr>
          <w:bCs/>
          <w:color w:val="000000" w:themeColor="text1"/>
          <w:u w:color="000000" w:themeColor="text1"/>
        </w:rPr>
        <w:noBreakHyphen/>
      </w:r>
      <w:r>
        <w:rPr>
          <w:rFonts w:eastAsia="Calibri"/>
          <w:bCs/>
          <w:color w:val="000000"/>
          <w:u w:color="000000"/>
        </w:rPr>
        <w:t>19</w:t>
      </w:r>
      <w:r>
        <w:rPr>
          <w:bCs/>
          <w:color w:val="000000" w:themeColor="text1"/>
          <w:u w:color="000000" w:themeColor="text1"/>
        </w:rPr>
        <w:noBreakHyphen/>
      </w:r>
      <w:r>
        <w:rPr>
          <w:rFonts w:eastAsia="Calibri"/>
          <w:bCs/>
          <w:color w:val="000000"/>
          <w:u w:color="000000"/>
        </w:rPr>
        <w:t>90 of the 1976 Code is amended to read:</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color w:val="000000"/>
          <w:u w:color="000000"/>
        </w:rPr>
        <w:tab/>
      </w:r>
      <w:r>
        <w:rPr>
          <w:color w:val="000000" w:themeColor="text1"/>
          <w:u w:color="000000" w:themeColor="text1"/>
        </w:rPr>
        <w:t>“Section 2-19-90.</w:t>
      </w:r>
      <w:r>
        <w:rPr>
          <w:color w:val="000000" w:themeColor="text1"/>
          <w:u w:color="000000" w:themeColor="text1"/>
        </w:rPr>
        <w:tab/>
      </w:r>
      <w:r>
        <w:rPr>
          <w:rFonts w:eastAsia="Calibri"/>
          <w:color w:val="000000"/>
          <w:u w:color="000000"/>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Pr>
          <w:color w:val="000000" w:themeColor="text1"/>
          <w:u w:color="000000" w:themeColor="text1"/>
        </w:rPr>
        <w:t>’</w:t>
      </w:r>
      <w:r>
        <w:rPr>
          <w:rFonts w:eastAsia="Calibri"/>
          <w:color w:val="000000"/>
          <w:u w:color="000000"/>
        </w:rPr>
        <w:t xml:space="preserve">s </w:t>
      </w:r>
      <w:r>
        <w:rPr>
          <w:rFonts w:eastAsia="Calibri"/>
          <w:strike/>
          <w:color w:val="000000"/>
          <w:u w:color="000000"/>
        </w:rPr>
        <w:t>nominees</w:t>
      </w:r>
      <w:r>
        <w:rPr>
          <w:rFonts w:eastAsia="Calibri"/>
          <w:color w:val="000000"/>
          <w:u w:color="000000"/>
        </w:rPr>
        <w:t xml:space="preserve"> </w:t>
      </w:r>
      <w:r>
        <w:rPr>
          <w:rFonts w:eastAsia="Calibri"/>
          <w:color w:val="000000"/>
          <w:u w:val="single" w:color="000000"/>
        </w:rPr>
        <w:t>list of qualified candidates</w:t>
      </w:r>
      <w:r>
        <w:rPr>
          <w:rFonts w:eastAsia="Calibri"/>
          <w:color w:val="000000"/>
          <w:u w:color="000000"/>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u w:color="000000" w:themeColor="text1"/>
        </w:rPr>
        <w:t>”</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color w:val="000000"/>
          <w:u w:color="000000"/>
        </w:rPr>
      </w:pPr>
      <w:r>
        <w:rPr>
          <w:rFonts w:eastAsia="Calibri"/>
          <w:bCs/>
          <w:color w:val="000000"/>
          <w:u w:color="000000"/>
        </w:rPr>
        <w:t>SECTION</w:t>
      </w:r>
      <w:r>
        <w:rPr>
          <w:rFonts w:eastAsia="Calibri"/>
          <w:bCs/>
          <w:color w:val="000000"/>
          <w:u w:color="000000"/>
        </w:rPr>
        <w:tab/>
        <w:t>7.</w:t>
      </w:r>
      <w:r>
        <w:rPr>
          <w:rFonts w:eastAsia="Calibri"/>
          <w:bCs/>
          <w:color w:val="000000"/>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0C7E" w:rsidRDefault="00720C7E" w:rsidP="0072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59" w:rsidRDefault="00720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EC4556" w:rsidRDefault="0010776B" w:rsidP="005D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1D68" w:rsidRDefault="005F1D68" w:rsidP="005F1D68">
      <w:pPr>
        <w:suppressAutoHyphens/>
      </w:pPr>
    </w:p>
    <w:sectPr w:rsidR="005F1D68" w:rsidSect="009F2E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C7E" w:rsidRDefault="00720C7E" w:rsidP="009F0C77">
      <w:r>
        <w:separator/>
      </w:r>
    </w:p>
  </w:endnote>
  <w:endnote w:type="continuationSeparator" w:id="0">
    <w:p w:rsidR="00720C7E" w:rsidRDefault="00720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47A8E3-52FC-4B27-9AF4-182D9AC426BA}"/>
    <w:embedBold r:id="rId2" w:fontKey="{7EC4FF6E-1CE5-4CD1-8B5A-FB3847239CC1}"/>
  </w:font>
  <w:font w:name="Calibri">
    <w:panose1 w:val="020F0502020204030204"/>
    <w:charset w:val="00"/>
    <w:family w:val="swiss"/>
    <w:pitch w:val="variable"/>
    <w:sig w:usb0="E10002FF" w:usb1="4000ACFF" w:usb2="00000009" w:usb3="00000000" w:csb0="0000019F" w:csb1="00000000"/>
    <w:embedRegular r:id="rId3" w:fontKey="{DA62BCFB-A75A-4D80-8458-3C395A04D518}"/>
  </w:font>
  <w:font w:name="Segoe UI">
    <w:panose1 w:val="020B0502040204020203"/>
    <w:charset w:val="00"/>
    <w:family w:val="swiss"/>
    <w:pitch w:val="variable"/>
    <w:sig w:usb0="E10022FF" w:usb1="C000E47F" w:usb2="00000029" w:usb3="00000000" w:csb0="000001DF" w:csb1="00000000"/>
    <w:embedRegular r:id="rId4" w:fontKey="{3E0E0BA1-0F72-4685-ADAB-507C4012E044}"/>
  </w:font>
  <w:font w:name="Cambria">
    <w:panose1 w:val="02040503050406030204"/>
    <w:charset w:val="00"/>
    <w:family w:val="roman"/>
    <w:pitch w:val="variable"/>
    <w:sig w:usb0="E00002FF" w:usb1="400004FF" w:usb2="00000000" w:usb3="00000000" w:csb0="0000019F" w:csb1="00000000"/>
    <w:embedRegular r:id="rId5" w:fontKey="{51D1E9BE-DA18-45D7-BADE-45A02CECC6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56" w:rsidRPr="008A165D" w:rsidRDefault="008A165D" w:rsidP="008A165D">
    <w:pPr>
      <w:pStyle w:val="Footer"/>
      <w:tabs>
        <w:tab w:val="clear" w:pos="4680"/>
        <w:tab w:val="clear" w:pos="9360"/>
        <w:tab w:val="center" w:pos="2995"/>
      </w:tabs>
      <w:spacing w:before="120"/>
    </w:pPr>
    <w:r>
      <w:t>[3979</w:t>
    </w:r>
    <w:r w:rsidR="009F2E78">
      <w:t>-</w:t>
    </w:r>
    <w:r w:rsidR="009F2E78">
      <w:fldChar w:fldCharType="begin"/>
    </w:r>
    <w:r w:rsidR="009F2E78">
      <w:instrText xml:space="preserve"> PAGE  \* MERGEFORMAT </w:instrText>
    </w:r>
    <w:r w:rsidR="009F2E78">
      <w:fldChar w:fldCharType="separate"/>
    </w:r>
    <w:r w:rsidR="005F1D68">
      <w:rPr>
        <w:noProof/>
      </w:rPr>
      <w:t>2</w:t>
    </w:r>
    <w:r w:rsidR="009F2E78">
      <w:fldChar w:fldCharType="end"/>
    </w:r>
    <w:r w:rsidR="009F2E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E78" w:rsidRPr="008A165D" w:rsidRDefault="009F2E78" w:rsidP="008A165D">
    <w:pPr>
      <w:pStyle w:val="Footer"/>
      <w:tabs>
        <w:tab w:val="clear" w:pos="4680"/>
        <w:tab w:val="clear" w:pos="9360"/>
        <w:tab w:val="center" w:pos="2995"/>
      </w:tabs>
      <w:spacing w:before="120"/>
    </w:pPr>
    <w:r>
      <w:t>[3979]</w:t>
    </w:r>
    <w:r>
      <w:tab/>
    </w:r>
    <w:r>
      <w:fldChar w:fldCharType="begin"/>
    </w:r>
    <w:r>
      <w:instrText xml:space="preserve"> PAGE  \* MERGEFORMAT </w:instrText>
    </w:r>
    <w:r>
      <w:fldChar w:fldCharType="separate"/>
    </w:r>
    <w:r w:rsidR="005F1D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C7E" w:rsidRDefault="00720C7E" w:rsidP="009F0C77">
      <w:r>
        <w:separator/>
      </w:r>
    </w:p>
  </w:footnote>
  <w:footnote w:type="continuationSeparator" w:id="0">
    <w:p w:rsidR="00720C7E" w:rsidRDefault="00720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1AHB15"/>
    <w:docVar w:name="CoverBillType" w:val="b"/>
    <w:docVar w:name="docpath" w:val="L:\Council\bills\MS\7121AHB15.DOCX"/>
    <w:docVar w:name="dvBillNumber" w:val="3979"/>
    <w:docVar w:name="dvBillNumberPrefix" w:val="H. "/>
    <w:docVar w:name="dvOriginalBody" w:val="House"/>
    <w:docVar w:name="dvSteno" w:val="MS"/>
    <w:docVar w:name="NameofBody" w:val="h"/>
    <w:docVar w:name="vgroup2" w:val="Council"/>
  </w:docVars>
  <w:rsids>
    <w:rsidRoot w:val="00A22059"/>
    <w:rsid w:val="00011869"/>
    <w:rsid w:val="00015CD6"/>
    <w:rsid w:val="000E1785"/>
    <w:rsid w:val="000F40FA"/>
    <w:rsid w:val="0010776B"/>
    <w:rsid w:val="00133E66"/>
    <w:rsid w:val="001435A3"/>
    <w:rsid w:val="00146ED3"/>
    <w:rsid w:val="00151044"/>
    <w:rsid w:val="001C1EC5"/>
    <w:rsid w:val="001D08F2"/>
    <w:rsid w:val="001D525B"/>
    <w:rsid w:val="001D7F4F"/>
    <w:rsid w:val="002051BD"/>
    <w:rsid w:val="00205238"/>
    <w:rsid w:val="002321B6"/>
    <w:rsid w:val="00244BE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DBD"/>
    <w:rsid w:val="005273C6"/>
    <w:rsid w:val="00530A69"/>
    <w:rsid w:val="00545593"/>
    <w:rsid w:val="00577C6C"/>
    <w:rsid w:val="005825B3"/>
    <w:rsid w:val="005C2FE2"/>
    <w:rsid w:val="005D3645"/>
    <w:rsid w:val="005E2BC9"/>
    <w:rsid w:val="005F1D68"/>
    <w:rsid w:val="00605102"/>
    <w:rsid w:val="006215AA"/>
    <w:rsid w:val="006913C9"/>
    <w:rsid w:val="0069470D"/>
    <w:rsid w:val="006B43DD"/>
    <w:rsid w:val="00720C7E"/>
    <w:rsid w:val="00734F00"/>
    <w:rsid w:val="007A70AE"/>
    <w:rsid w:val="008362E8"/>
    <w:rsid w:val="008A165D"/>
    <w:rsid w:val="008A1768"/>
    <w:rsid w:val="008D4E65"/>
    <w:rsid w:val="008F0F33"/>
    <w:rsid w:val="008F4429"/>
    <w:rsid w:val="0094021A"/>
    <w:rsid w:val="009B44AF"/>
    <w:rsid w:val="009C6A0B"/>
    <w:rsid w:val="009F0C77"/>
    <w:rsid w:val="009F2E78"/>
    <w:rsid w:val="009F4DD1"/>
    <w:rsid w:val="00A2205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05EC"/>
    <w:rsid w:val="00E41911"/>
    <w:rsid w:val="00E92EEF"/>
    <w:rsid w:val="00EC455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E3700B-5EE9-4633-88A1-82FF05B0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C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91B8E-2DB6-4057-907E-E24AEDD5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8</Pages>
  <Words>2288</Words>
  <Characters>12216</Characters>
  <Application>Microsoft Office Word</Application>
  <DocSecurity>0</DocSecurity>
  <Lines>301</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3979 Text of Previous Version (Apr. 22, 2015) - South Carolina Legislature Online</dc:title>
  <dc:creator>MarthaSanders</dc:creator>
  <cp:lastModifiedBy>Miriam Cook</cp:lastModifiedBy>
  <cp:revision>2</cp:revision>
  <cp:lastPrinted>2015-03-30T18:00:00Z</cp:lastPrinted>
  <dcterms:created xsi:type="dcterms:W3CDTF">2015-04-22T23:49:00Z</dcterms:created>
  <dcterms:modified xsi:type="dcterms:W3CDTF">2015-04-22T23:49:00Z</dcterms:modified>
</cp:coreProperties>
</file>