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F91"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Pr="00F87886" w:rsidRDefault="00F87886" w:rsidP="00F87886">
      <w:pPr>
        <w:tabs>
          <w:tab w:val="right" w:pos="5933"/>
        </w:tabs>
        <w:suppressAutoHyphens/>
      </w:pPr>
      <w:r>
        <w:tab/>
      </w:r>
      <w:r>
        <w:rPr>
          <w:b/>
          <w:sz w:val="36"/>
        </w:rPr>
        <w:t>H. 4776</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Erickson, Crosby, Yow, Gagnon, Duckworth, Clary, Govan, Neal, George, Anthony, Willis, Bannister, Bingham, R.L. Brown, Daning, Hayes, Henderson, Hixon, Long, Lucas, V.S. Moss, Murphy, Pope, Simrill, Tallon, Wells, W.J. McLeod, Kennedy, White and Whipper</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4F4F29">
      <w:pPr>
        <w:tabs>
          <w:tab w:val="right" w:pos="5933"/>
        </w:tabs>
        <w:suppressAutoHyphens/>
      </w:pPr>
      <w:r>
        <w:t>S. Printed 4/26/16--H.</w:t>
      </w:r>
      <w:r w:rsidR="004F4F29">
        <w:tab/>
        <w:t>[SEC 4/27/16 4:46 PM]</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87886">
        <w:rPr>
          <w:b/>
        </w:rPr>
        <w:t>Fiscal Impact Summary</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 xml:space="preserve">This bill would increase recurring general fund expenditures by $453,276 beginning in FY 2017-2018.  There would be no expenditure impact to federal funds or other funds.  </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87886">
        <w:rPr>
          <w:b/>
        </w:rPr>
        <w:t>Explanation of Fiscal Impact</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886">
        <w:rPr>
          <w:b/>
        </w:rPr>
        <w:t>State Expenditure</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This bill would add Chapter 158 to Title 59 to enact the South Carolina Education Facility Authority Act.  The authority would assist in the provision of financial assistance for the construction or enhancement of school facilities to school districts.  In order to obtain funds for school facilities, the authority, by a resolution, can borrow money through the issuance of bonds and other forms of indebtedness.  The bill further directs that the authority be funded through the general appropriations act beginning in FY 2017-18.</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szCs w:val="22"/>
        </w:rPr>
        <w:tab/>
        <w:t xml:space="preserve">The Revenue and Fiscal Affairs offices estimates that if staffing levels were similar to the South Carolina Transportation Infrastructure Bank, there would be an expenditure impact of $453,276 to the general fund and two FTEs.  There would be no expenditure impact to federal funds or other funds.  </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b/>
          <w:szCs w:val="22"/>
        </w:rPr>
        <w:t xml:space="preserve">Office of State Treasurer.  </w:t>
      </w:r>
      <w:r w:rsidRPr="00F87886">
        <w:rPr>
          <w:rFonts w:eastAsiaTheme="minorHAnsi" w:cstheme="minorBidi"/>
          <w:szCs w:val="22"/>
        </w:rPr>
        <w:t xml:space="preserve">Assuming the authority would follow a debt issuance plan similar to other comparable authorities, such as the South Carolina Transportation Infrastructure Bank and the Tobacco Revenue Settlement Management Authority that are established by state law, the Debt Management Division of the State Treasurer’s Office would be able to absorb any additional duties </w:t>
      </w:r>
      <w:r w:rsidRPr="00F87886">
        <w:rPr>
          <w:rFonts w:eastAsiaTheme="minorHAnsi" w:cstheme="minorBidi"/>
          <w:szCs w:val="22"/>
        </w:rPr>
        <w:lastRenderedPageBreak/>
        <w:t xml:space="preserve">using existing personnel and resources.  There would be no expenditure impact to the general fund, federal funds, or other funds. </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7886" w:rsidRP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886" w:rsidSect="00240F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1ED" w:rsidRDefault="002661ED"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Default="00F87886"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SECTION</w:t>
      </w:r>
      <w:r w:rsidRPr="000E5713">
        <w:rPr>
          <w:u w:color="000000" w:themeColor="text1"/>
        </w:rPr>
        <w:tab/>
        <w:t>1.</w:t>
      </w:r>
      <w:r w:rsidRPr="000E5713">
        <w:rPr>
          <w:u w:color="000000" w:themeColor="text1"/>
        </w:rPr>
        <w:tab/>
        <w:t>Title 59 of the 1976 Code is amended by adding: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“CHAPTER 158</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110.</w:t>
      </w:r>
      <w:r w:rsidRPr="000E5713">
        <w:rPr>
          <w:u w:color="000000" w:themeColor="text1"/>
        </w:rPr>
        <w:tab/>
        <w:t>This chapter is known and may be cited as the ‘South Carolina Education School Facilities Act’.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Pr="000E5713">
        <w:rPr>
          <w:u w:color="000000" w:themeColor="text1"/>
        </w:rPr>
        <w:noBreakHyphen/>
        <w:t>158</w:t>
      </w:r>
      <w:r w:rsidRPr="000E5713">
        <w:rPr>
          <w:u w:color="000000" w:themeColor="text1"/>
        </w:rPr>
        <w:noBreakHyphen/>
        <w:t>120.</w:t>
      </w:r>
      <w:r w:rsidRPr="000E5713">
        <w:rPr>
          <w:u w:color="000000" w:themeColor="text1"/>
        </w:rPr>
        <w:tab/>
        <w:t>As used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‘Authority’ means the South Carolina State Fiscal Accountability Authority.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‘Bonds’ means general obligation bonds, notes, interim certificates, grant or bond anticipation notes, or any other similar types of indebtedness issued by the State of South Carolina.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‘Facilities plan’ means the report described in Section 59</w:t>
      </w:r>
      <w:r w:rsidRPr="000E5713">
        <w:rPr>
          <w:u w:color="000000" w:themeColor="text1"/>
        </w:rPr>
        <w:noBreakHyphen/>
        <w:t>158</w:t>
      </w:r>
      <w:r w:rsidRPr="000E5713">
        <w:rPr>
          <w:u w:color="000000" w:themeColor="text1"/>
        </w:rPr>
        <w:noBreakHyphen/>
        <w:t>180(B).</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‘Facilities study’ means that study described in Section 59</w:t>
      </w:r>
      <w:r w:rsidRPr="000E5713">
        <w:rPr>
          <w:u w:color="000000" w:themeColor="text1"/>
        </w:rPr>
        <w:noBreakHyphen/>
        <w:t>158</w:t>
      </w:r>
      <w:r w:rsidRPr="000E5713">
        <w:rPr>
          <w:u w:color="000000" w:themeColor="text1"/>
        </w:rPr>
        <w:noBreakHyphen/>
        <w:t>180(A).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‘Financing agreement’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‘Prioritization report’ means the report described in Section 59</w:t>
      </w:r>
      <w:r w:rsidRPr="000E5713">
        <w:rPr>
          <w:u w:color="000000" w:themeColor="text1"/>
        </w:rPr>
        <w:noBreakHyphen/>
        <w:t>158</w:t>
      </w:r>
      <w:r w:rsidRPr="000E5713">
        <w:rPr>
          <w:u w:color="000000" w:themeColor="text1"/>
        </w:rPr>
        <w:noBreakHyphen/>
        <w:t>180</w:t>
      </w:r>
      <w:r w:rsidR="004F4F29">
        <w:rPr>
          <w:u w:color="000000" w:themeColor="text1"/>
        </w:rPr>
        <w:t>,</w:t>
      </w:r>
      <w:r w:rsidRPr="000E5713">
        <w:rPr>
          <w:u w:color="000000" w:themeColor="text1"/>
        </w:rPr>
        <w:t xml:space="preserve"> and which is prepared by the state board.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(9)</w:t>
      </w:r>
      <w:r w:rsidRPr="000E5713">
        <w:rPr>
          <w:u w:color="000000" w:themeColor="text1"/>
        </w:rPr>
        <w:tab/>
        <w:t>‘Qualified school projects’ mean school facilities that are constructed, renovated or equipped with money generated under the provisions of this chapter and in accordance with the provisions of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t>‘School district’ means a public body corporate and politic operating as a school district under the provisions of Chapter 17, Title 59, and charter schools within the meaning of Chapter 40, Title 59.</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t>‘School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(d)</w:t>
      </w:r>
      <w:r w:rsidRPr="000E5713">
        <w:rPr>
          <w:u w:color="000000" w:themeColor="text1"/>
        </w:rPr>
        <w:tab/>
        <w:t>deferred maintenance needs as described in the district’s capital improvement plan.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‘School facilities’ does not include unimproved real property, centralized district administration facilities, or other facilities, including those normally identified with interscholastic sports activities.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t>‘South Carolina Education School Facilities General Obligation Bonds’ means bonds issued under the authority of Article 3 of this chapter.</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t>‘State board’ means the State Board of Education.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130.</w:t>
      </w:r>
      <w:r w:rsidRPr="000E5713">
        <w:rPr>
          <w:u w:color="000000" w:themeColor="text1"/>
        </w:rPr>
        <w:tab/>
        <w:t>(A)</w:t>
      </w:r>
      <w:r w:rsidRPr="000E5713">
        <w:rPr>
          <w:u w:color="000000" w:themeColor="text1"/>
        </w:rPr>
        <w:tab/>
        <w:t>Consistent with the definition of school facilities in Section 59</w:t>
      </w:r>
      <w:r w:rsidRPr="000E5713">
        <w:rPr>
          <w:u w:color="000000" w:themeColor="text1"/>
        </w:rPr>
        <w:noBreakHyphen/>
        <w:t>158</w:t>
      </w:r>
      <w:r w:rsidRPr="000E5713">
        <w:rPr>
          <w:u w:color="000000" w:themeColor="text1"/>
        </w:rPr>
        <w:noBreakHyphen/>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140.</w:t>
      </w:r>
      <w:r w:rsidRPr="000E5713">
        <w:rPr>
          <w:u w:color="000000" w:themeColor="text1"/>
        </w:rPr>
        <w:tab/>
        <w:t>(A)</w:t>
      </w:r>
      <w:r w:rsidRPr="000E5713">
        <w:rPr>
          <w:u w:color="000000" w:themeColor="text1"/>
        </w:rPr>
        <w:tab/>
        <w:t>The State Board of Education’s responsibilities in regard to this chapter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In order to implement the provisions of this chapter, the state board also shall:</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150.</w:t>
      </w:r>
      <w:r w:rsidRPr="000E5713">
        <w:rPr>
          <w:u w:color="000000" w:themeColor="text1"/>
        </w:rPr>
        <w:tab/>
        <w:t>The Department of Education’s responsibilities under this chapter to assist the state board in the performance of its duties shall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160.</w:t>
      </w:r>
      <w:r w:rsidRPr="000E5713">
        <w:rPr>
          <w:u w:color="000000" w:themeColor="text1"/>
        </w:rPr>
        <w:tab/>
        <w:t xml:space="preserve">All money of the state board received under this chapter, except as otherwise authorized by law or provided in </w:t>
      </w:r>
      <w:r w:rsidRPr="000E5713">
        <w:rPr>
          <w:u w:color="000000" w:themeColor="text1"/>
        </w:rPr>
        <w:lastRenderedPageBreak/>
        <w:t>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Pr="000E5713">
        <w:rPr>
          <w:u w:color="000000" w:themeColor="text1"/>
        </w:rPr>
        <w:noBreakHyphen/>
        <w:t>9</w:t>
      </w:r>
      <w:r w:rsidRPr="000E5713">
        <w:rPr>
          <w:u w:color="000000" w:themeColor="text1"/>
        </w:rPr>
        <w:noBreakHyphen/>
        <w:t xml:space="preserve">660. </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180.</w:t>
      </w:r>
      <w:r w:rsidRPr="000E5713">
        <w:rPr>
          <w:u w:color="000000" w:themeColor="text1"/>
        </w:rPr>
        <w:tab/>
        <w:t>(A)</w:t>
      </w:r>
      <w:r w:rsidRPr="000E5713">
        <w:rPr>
          <w:u w:color="000000" w:themeColor="text1"/>
        </w:rPr>
        <w:tab/>
        <w:t>The State Department of Education shall conduct a facilities study of all school districts’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By October 1, 2017, and the first day of October of each year thereafter, each school district shall provide annually to the department a thorough facilities plan that describes the school facilities in that school district.  Each facilities plan shall:</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In doing so, the school districts must undertake a study of future enrollment trends so that both the construction and closing of buildings is considered.  Additionally, each school district’s </w:t>
      </w:r>
      <w:r w:rsidRPr="000E5713">
        <w:rPr>
          <w:u w:color="000000" w:themeColor="text1"/>
        </w:rPr>
        <w:lastRenderedPageBreak/>
        <w:t>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grants, loans or a combination of both.</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190.</w:t>
      </w:r>
      <w:r w:rsidRPr="000E5713">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w:t>
      </w:r>
      <w:r w:rsidRPr="000E5713">
        <w:rPr>
          <w:u w:color="000000" w:themeColor="text1"/>
        </w:rPr>
        <w:lastRenderedPageBreak/>
        <w:t>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Pr="000E5713">
        <w:rPr>
          <w:u w:color="000000" w:themeColor="text1"/>
        </w:rPr>
        <w:noBreakHyphen/>
        <w:t>158</w:t>
      </w:r>
      <w:r w:rsidRPr="000E5713">
        <w:rPr>
          <w:u w:color="000000" w:themeColor="text1"/>
        </w:rPr>
        <w:noBreakHyphen/>
        <w:t>310</w:t>
      </w:r>
      <w:r w:rsidR="004F4F29">
        <w:rPr>
          <w:u w:color="000000" w:themeColor="text1"/>
        </w:rPr>
        <w:t>,</w:t>
      </w:r>
      <w:r w:rsidRPr="000E5713">
        <w:rPr>
          <w:u w:color="000000" w:themeColor="text1"/>
        </w:rPr>
        <w:t xml:space="preserve"> for that year.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210.</w:t>
      </w:r>
      <w:r w:rsidRPr="000E5713">
        <w:rPr>
          <w:u w:color="000000" w:themeColor="text1"/>
        </w:rPr>
        <w:tab/>
        <w:t>To qualify for funding under this chapter, each school district shall meet the requirements of this chapter and any regulations promulgated pursuant to this chapter. Funds may be withheld from a school district by the state board when the Department of Education finds inappropriate reporting of facilities’ needs, inappropriate use of funds, or other violations of this chapter, including the provisions of this section.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230.</w:t>
      </w:r>
      <w:r w:rsidRPr="000E5713">
        <w:rPr>
          <w:u w:color="000000" w:themeColor="text1"/>
        </w:rPr>
        <w:tab/>
        <w:t>By December 1, 2018, the State Board of Education shall recommend to the General Assembly changes to be made to this chapter regarding program objectives, appropriate funding levels, and funding allotments formulas.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3</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320.</w:t>
      </w:r>
      <w:r w:rsidRPr="000E5713">
        <w:rPr>
          <w:u w:color="000000" w:themeColor="text1"/>
        </w:rPr>
        <w:tab/>
        <w:t xml:space="preserve">Within thirty days after the effective date of the general appropriations bill or a joint resolution </w:t>
      </w:r>
      <w:bookmarkStart w:id="5" w:name="temp"/>
      <w:bookmarkEnd w:id="5"/>
      <w:r w:rsidRPr="000E5713">
        <w:rPr>
          <w:u w:color="000000" w:themeColor="text1"/>
        </w:rPr>
        <w:t>setting forth the amount of general obligation bonds which may be issued as provided in Section 59</w:t>
      </w:r>
      <w:r w:rsidRPr="000E5713">
        <w:rPr>
          <w:u w:color="000000" w:themeColor="text1"/>
        </w:rPr>
        <w:noBreakHyphen/>
        <w:t>158</w:t>
      </w:r>
      <w:r w:rsidRPr="000E5713">
        <w:rPr>
          <w:u w:color="000000" w:themeColor="text1"/>
        </w:rPr>
        <w:noBreakHyphen/>
        <w:t>310, the prioritization report, together with the certificate of the state board, must be submitted to the Joint Bond Review Committee for its review.</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(1)</w:t>
      </w:r>
      <w:r w:rsidRPr="000E5713">
        <w:rPr>
          <w:u w:color="000000" w:themeColor="text1"/>
        </w:rPr>
        <w:tab/>
        <w:t>that it is necessary for bonds to be issued in the amount proposed;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Pr="000E5713">
        <w:noBreakHyphen/>
        <w:t>158</w:t>
      </w:r>
      <w:r w:rsidRPr="000E5713">
        <w:noBreakHyphen/>
        <w:t>510.</w:t>
      </w:r>
      <w:r w:rsidRPr="000E5713">
        <w:tab/>
      </w:r>
      <w:r w:rsidRPr="000E5713">
        <w:rPr>
          <w:u w:color="000000" w:themeColor="text1"/>
        </w:rPr>
        <w:t>Following the receipt of the information presented pursuant to Section 59</w:t>
      </w:r>
      <w:r w:rsidRPr="000E5713">
        <w:rPr>
          <w:u w:color="000000" w:themeColor="text1"/>
        </w:rPr>
        <w:noBreakHyphen/>
        <w:t>158</w:t>
      </w:r>
      <w:r w:rsidRPr="000E5713">
        <w:rPr>
          <w:u w:color="000000" w:themeColor="text1"/>
        </w:rPr>
        <w:noBreakHyphen/>
        <w:t>330, the Authority, upon its approval, by resolution duly adopted, shall effect the issuance of the bonds, or pending the issuance of the bonds, effect the issuance of bond anticipation notes pursuant to Chapter 17, Title 11.</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540.</w:t>
      </w:r>
      <w:r w:rsidRPr="000E5713">
        <w:rPr>
          <w:u w:color="000000" w:themeColor="text1"/>
        </w:rPr>
        <w:tab/>
        <w:t>All bonds issued under this chapter are exempt from taxation as provided in Section 12</w:t>
      </w:r>
      <w:r w:rsidRPr="000E5713">
        <w:rPr>
          <w:u w:color="000000" w:themeColor="text1"/>
        </w:rPr>
        <w:noBreakHyphen/>
        <w:t>2</w:t>
      </w:r>
      <w:r w:rsidRPr="000E5713">
        <w:rPr>
          <w:u w:color="000000" w:themeColor="text1"/>
        </w:rPr>
        <w:noBreakHyphen/>
        <w:t>50.</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590.</w:t>
      </w:r>
      <w:r w:rsidRPr="000E5713">
        <w:rPr>
          <w:u w:color="000000" w:themeColor="text1"/>
        </w:rPr>
        <w:tab/>
        <w:t>It is lawful for all executors, administrators, guardians, and other fiduciaries to invest any monies in their hands in bonds issued pursuant to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7</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rPr>
          <w:u w:color="000000" w:themeColor="text1"/>
        </w:rPr>
        <w:tab/>
        <w:t>Section 59</w:t>
      </w:r>
      <w:r w:rsidRPr="000E5713">
        <w:rPr>
          <w:u w:color="000000" w:themeColor="text1"/>
        </w:rPr>
        <w:noBreakHyphen/>
        <w:t>158</w:t>
      </w:r>
      <w:r w:rsidRPr="000E5713">
        <w:rPr>
          <w:u w:color="000000" w:themeColor="text1"/>
        </w:rPr>
        <w:noBreakHyphen/>
        <w:t>710.</w:t>
      </w:r>
      <w:r w:rsidRPr="000E5713">
        <w:rPr>
          <w:u w:color="000000" w:themeColor="text1"/>
        </w:rPr>
        <w:tab/>
        <w:t>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t>SECTION</w:t>
      </w:r>
      <w:r w:rsidRPr="000E5713">
        <w:tab/>
        <w:t>2.</w:t>
      </w:r>
      <w:r w:rsidRPr="000E5713">
        <w:tab/>
        <w:t>Chapter 146, Title 59 of the 1976 Code is repealed.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E14"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713">
        <w:t>SECTION</w:t>
      </w:r>
      <w:r w:rsidRPr="000E5713">
        <w:tab/>
        <w:t>3.</w:t>
      </w:r>
      <w:r w:rsidRPr="000E5713">
        <w:tab/>
        <w:t>This act takes upon approval by the Governor.</w:t>
      </w:r>
    </w:p>
    <w:p w:rsidR="003F3BC9" w:rsidRDefault="00595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111" w:rsidRDefault="00840111" w:rsidP="00840111">
      <w:pPr>
        <w:suppressAutoHyphens/>
      </w:pPr>
    </w:p>
    <w:sectPr w:rsidR="00840111" w:rsidSect="00240F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886" w:rsidRDefault="00F87886" w:rsidP="009F0C77">
      <w:r>
        <w:separator/>
      </w:r>
    </w:p>
  </w:endnote>
  <w:endnote w:type="continuationSeparator" w:id="0">
    <w:p w:rsidR="00F87886" w:rsidRDefault="00F87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551B9F-82D4-4DDF-B0E0-7A3710CCC11A}"/>
    <w:embedBold r:id="rId2" w:fontKey="{139724F5-2A80-4706-9A57-E6E7C287547B}"/>
  </w:font>
  <w:font w:name="Calibri">
    <w:panose1 w:val="020F0502020204030204"/>
    <w:charset w:val="00"/>
    <w:family w:val="swiss"/>
    <w:pitch w:val="variable"/>
    <w:sig w:usb0="E00002FF" w:usb1="4000ACFF" w:usb2="00000001" w:usb3="00000000" w:csb0="0000019F" w:csb1="00000000"/>
    <w:embedRegular r:id="rId3" w:fontKey="{2CC3D1F3-5A61-4A90-BA8F-27D5BBD0BF76}"/>
    <w:embedBold r:id="rId4" w:fontKey="{0E6C37DA-F8A7-4680-B7AD-517F40000932}"/>
  </w:font>
  <w:font w:name="Segoe UI">
    <w:panose1 w:val="020B0502040204020203"/>
    <w:charset w:val="00"/>
    <w:family w:val="swiss"/>
    <w:pitch w:val="variable"/>
    <w:sig w:usb0="E10022FF" w:usb1="C000E47F" w:usb2="00000029" w:usb3="00000000" w:csb0="000001DF" w:csb1="00000000"/>
    <w:embedRegular r:id="rId5" w:fontKey="{1C16E831-9007-4E19-974D-D36817E62C12}"/>
  </w:font>
  <w:font w:name="Cambria">
    <w:panose1 w:val="02040503050406030204"/>
    <w:charset w:val="00"/>
    <w:family w:val="roman"/>
    <w:pitch w:val="variable"/>
    <w:sig w:usb0="E00002FF" w:usb1="400004FF" w:usb2="00000000" w:usb3="00000000" w:csb0="0000019F" w:csb1="00000000"/>
    <w:embedRegular r:id="rId6" w:fontKey="{D8D11404-82C2-4530-BFF1-DF21659130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886" w:rsidRPr="002661ED" w:rsidRDefault="00F87886" w:rsidP="002661ED">
    <w:pPr>
      <w:pStyle w:val="Footer"/>
      <w:tabs>
        <w:tab w:val="clear" w:pos="4680"/>
        <w:tab w:val="clear" w:pos="9360"/>
        <w:tab w:val="center" w:pos="2995"/>
      </w:tabs>
      <w:spacing w:before="120"/>
    </w:pPr>
    <w:r>
      <w:t>[4776-</w:t>
    </w:r>
    <w:r>
      <w:fldChar w:fldCharType="begin"/>
    </w:r>
    <w:r>
      <w:instrText xml:space="preserve"> PAGE  \* MERGEFORMAT </w:instrText>
    </w:r>
    <w:r>
      <w:fldChar w:fldCharType="separate"/>
    </w:r>
    <w:r w:rsidR="00840111">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886" w:rsidRPr="002661ED" w:rsidRDefault="00F87886" w:rsidP="002661ED">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840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886" w:rsidRDefault="00F87886" w:rsidP="009F0C77">
      <w:r>
        <w:separator/>
      </w:r>
    </w:p>
  </w:footnote>
  <w:footnote w:type="continuationSeparator" w:id="0">
    <w:p w:rsidR="00F87886" w:rsidRDefault="00F87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2SD16"/>
    <w:docVar w:name="CoverBillType" w:val="b"/>
    <w:docVar w:name="docpath" w:val="L:\Council\bills\NL\13572SD16.DOCX"/>
    <w:docVar w:name="dvBillNumber" w:val="4776"/>
    <w:docVar w:name="dvBillNumberPrefix" w:val="H. "/>
    <w:docVar w:name="dvOriginalBody" w:val="House"/>
    <w:docVar w:name="dvSteno" w:val="NL"/>
    <w:docVar w:name="NameofBody" w:val="h"/>
    <w:docVar w:name="vgroup2" w:val="Council"/>
  </w:docVars>
  <w:rsids>
    <w:rsidRoot w:val="00723E14"/>
    <w:rsid w:val="00002824"/>
    <w:rsid w:val="00011869"/>
    <w:rsid w:val="00015CD6"/>
    <w:rsid w:val="0003466C"/>
    <w:rsid w:val="000B30F1"/>
    <w:rsid w:val="000B561C"/>
    <w:rsid w:val="000E1785"/>
    <w:rsid w:val="000F40FA"/>
    <w:rsid w:val="0010776B"/>
    <w:rsid w:val="00133E66"/>
    <w:rsid w:val="001435A3"/>
    <w:rsid w:val="00146ED3"/>
    <w:rsid w:val="00151044"/>
    <w:rsid w:val="001A007E"/>
    <w:rsid w:val="001D08F2"/>
    <w:rsid w:val="001D343C"/>
    <w:rsid w:val="001D525B"/>
    <w:rsid w:val="001D7F4F"/>
    <w:rsid w:val="00205238"/>
    <w:rsid w:val="002321B6"/>
    <w:rsid w:val="00240F91"/>
    <w:rsid w:val="00250967"/>
    <w:rsid w:val="002543C8"/>
    <w:rsid w:val="0025541D"/>
    <w:rsid w:val="002661ED"/>
    <w:rsid w:val="00284AAE"/>
    <w:rsid w:val="002E5912"/>
    <w:rsid w:val="00301B21"/>
    <w:rsid w:val="00325348"/>
    <w:rsid w:val="0032732C"/>
    <w:rsid w:val="00333341"/>
    <w:rsid w:val="00336AD0"/>
    <w:rsid w:val="0037079A"/>
    <w:rsid w:val="003C3C7A"/>
    <w:rsid w:val="003C4DAB"/>
    <w:rsid w:val="003D01E8"/>
    <w:rsid w:val="003E5288"/>
    <w:rsid w:val="003F3BC9"/>
    <w:rsid w:val="003F6D79"/>
    <w:rsid w:val="0041072D"/>
    <w:rsid w:val="0041760A"/>
    <w:rsid w:val="00417C01"/>
    <w:rsid w:val="004403BD"/>
    <w:rsid w:val="00461441"/>
    <w:rsid w:val="004809EE"/>
    <w:rsid w:val="004D7F64"/>
    <w:rsid w:val="004E7D54"/>
    <w:rsid w:val="004F4BAD"/>
    <w:rsid w:val="004F4F29"/>
    <w:rsid w:val="005273C6"/>
    <w:rsid w:val="00530A69"/>
    <w:rsid w:val="00545593"/>
    <w:rsid w:val="00571F90"/>
    <w:rsid w:val="00577C6C"/>
    <w:rsid w:val="00595421"/>
    <w:rsid w:val="005C2FE2"/>
    <w:rsid w:val="005E2BC9"/>
    <w:rsid w:val="006014DB"/>
    <w:rsid w:val="00605102"/>
    <w:rsid w:val="0061189C"/>
    <w:rsid w:val="006215AA"/>
    <w:rsid w:val="006913C9"/>
    <w:rsid w:val="0069213D"/>
    <w:rsid w:val="0069470D"/>
    <w:rsid w:val="006A6D08"/>
    <w:rsid w:val="006C2827"/>
    <w:rsid w:val="006C33AD"/>
    <w:rsid w:val="00723E14"/>
    <w:rsid w:val="00734F00"/>
    <w:rsid w:val="00755073"/>
    <w:rsid w:val="00766350"/>
    <w:rsid w:val="00781B29"/>
    <w:rsid w:val="007A21D3"/>
    <w:rsid w:val="007A70AE"/>
    <w:rsid w:val="008362E8"/>
    <w:rsid w:val="00840111"/>
    <w:rsid w:val="0089060A"/>
    <w:rsid w:val="008A1768"/>
    <w:rsid w:val="008E5E39"/>
    <w:rsid w:val="008E71AF"/>
    <w:rsid w:val="008F0F33"/>
    <w:rsid w:val="008F4429"/>
    <w:rsid w:val="008F6424"/>
    <w:rsid w:val="0094021A"/>
    <w:rsid w:val="00974977"/>
    <w:rsid w:val="009A494B"/>
    <w:rsid w:val="009B44AF"/>
    <w:rsid w:val="009C6A0B"/>
    <w:rsid w:val="009F0C77"/>
    <w:rsid w:val="009F4DD1"/>
    <w:rsid w:val="00A41684"/>
    <w:rsid w:val="00A54D4C"/>
    <w:rsid w:val="00A64E80"/>
    <w:rsid w:val="00A70B9A"/>
    <w:rsid w:val="00A72BCD"/>
    <w:rsid w:val="00A741D9"/>
    <w:rsid w:val="00A833AB"/>
    <w:rsid w:val="00A9741D"/>
    <w:rsid w:val="00AD4B17"/>
    <w:rsid w:val="00AE57D6"/>
    <w:rsid w:val="00AE7534"/>
    <w:rsid w:val="00B36D2D"/>
    <w:rsid w:val="00B412D4"/>
    <w:rsid w:val="00B70140"/>
    <w:rsid w:val="00BA2ABC"/>
    <w:rsid w:val="00BA4926"/>
    <w:rsid w:val="00BE3C22"/>
    <w:rsid w:val="00C0345E"/>
    <w:rsid w:val="00C3483A"/>
    <w:rsid w:val="00C47089"/>
    <w:rsid w:val="00C61025"/>
    <w:rsid w:val="00C63AC8"/>
    <w:rsid w:val="00C74E9D"/>
    <w:rsid w:val="00C82FD3"/>
    <w:rsid w:val="00C92819"/>
    <w:rsid w:val="00CB1E9C"/>
    <w:rsid w:val="00CC6B7B"/>
    <w:rsid w:val="00CD2089"/>
    <w:rsid w:val="00CE6FC9"/>
    <w:rsid w:val="00D16E78"/>
    <w:rsid w:val="00D73A67"/>
    <w:rsid w:val="00D812D7"/>
    <w:rsid w:val="00D970A9"/>
    <w:rsid w:val="00DB0AE0"/>
    <w:rsid w:val="00DF3845"/>
    <w:rsid w:val="00E1210D"/>
    <w:rsid w:val="00E41911"/>
    <w:rsid w:val="00E92EEF"/>
    <w:rsid w:val="00EE3FA4"/>
    <w:rsid w:val="00EF2368"/>
    <w:rsid w:val="00F24442"/>
    <w:rsid w:val="00F50AE3"/>
    <w:rsid w:val="00F656BA"/>
    <w:rsid w:val="00F67CF1"/>
    <w:rsid w:val="00F840F0"/>
    <w:rsid w:val="00F87886"/>
    <w:rsid w:val="00FB0D0D"/>
    <w:rsid w:val="00FB43B4"/>
    <w:rsid w:val="00FD31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3FA6D-42B2-4D09-902C-755A3E84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1CF8-47E8-4834-AEE8-906CFBBC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15</Pages>
  <Words>4491</Words>
  <Characters>24616</Characters>
  <Application>Microsoft Office Word</Application>
  <DocSecurity>0</DocSecurity>
  <Lines>574</Lines>
  <Paragraphs>136</Paragraphs>
  <ScaleCrop>false</ScaleCrop>
  <HeadingPairs>
    <vt:vector size="2" baseType="variant">
      <vt:variant>
        <vt:lpstr>Title</vt:lpstr>
      </vt:variant>
      <vt:variant>
        <vt:i4>1</vt:i4>
      </vt:variant>
    </vt:vector>
  </HeadingPairs>
  <TitlesOfParts>
    <vt:vector size="1" baseType="lpstr">
      <vt:lpstr>2015-2016 Bill 4776: Subject not yet available - South Carolina Legislature Online</vt:lpstr>
    </vt:vector>
  </TitlesOfParts>
  <Company>LPITS</Company>
  <LinksUpToDate>false</LinksUpToDate>
  <CharactersWithSpaces>29168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4776 Text of Previous Version (Apr. 27, 2016) - South Carolina Legislature Online</dc:title>
  <dc:creator>nancylee</dc:creator>
  <cp:lastModifiedBy>Angela Hopkins</cp:lastModifiedBy>
  <cp:revision>2</cp:revision>
  <cp:lastPrinted>2016-04-27T20:46:00Z</cp:lastPrinted>
  <dcterms:created xsi:type="dcterms:W3CDTF">2016-04-27T20:47:00Z</dcterms:created>
  <dcterms:modified xsi:type="dcterms:W3CDTF">2016-04-27T20:47:00Z</dcterms:modified>
</cp:coreProperties>
</file>