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AFC" w:rsidRDefault="00D83AFC" w:rsidP="00E26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260E3" w:rsidRDefault="00E260E3" w:rsidP="00E26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0E3" w:rsidRDefault="00E260E3" w:rsidP="00E26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0E3" w:rsidRDefault="00E260E3" w:rsidP="00E26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0E3" w:rsidRDefault="00E260E3" w:rsidP="00E26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0E3" w:rsidRDefault="00E260E3" w:rsidP="00E26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0E3" w:rsidRDefault="00E260E3" w:rsidP="00E26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3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687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5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86808">
        <w:rPr>
          <w:color w:val="000000" w:themeColor="text1"/>
          <w:u w:color="000000" w:themeColor="text1"/>
        </w:rPr>
        <w:t>TO AMEND THE CODE OF LAWS OF SOUTH CAROLINA, 1976, BY ADDING SECTION 12</w:t>
      </w:r>
      <w:r>
        <w:rPr>
          <w:color w:val="000000" w:themeColor="text1"/>
          <w:u w:color="000000" w:themeColor="text1"/>
        </w:rPr>
        <w:noBreakHyphen/>
      </w:r>
      <w:r w:rsidRPr="00C86808">
        <w:rPr>
          <w:color w:val="000000" w:themeColor="text1"/>
          <w:u w:color="000000" w:themeColor="text1"/>
        </w:rPr>
        <w:t>43</w:t>
      </w:r>
      <w:r>
        <w:rPr>
          <w:color w:val="000000" w:themeColor="text1"/>
          <w:u w:color="000000" w:themeColor="text1"/>
        </w:rPr>
        <w:noBreakHyphen/>
      </w:r>
      <w:r w:rsidRPr="00C86808">
        <w:rPr>
          <w:color w:val="000000" w:themeColor="text1"/>
          <w:u w:color="000000" w:themeColor="text1"/>
        </w:rPr>
        <w:t>235 SO AS TO PROVIDE THAT IF AGRICULTURAL REAL PROPERTY IS TRANSFERRED TO ANOTHER PERS</w:t>
      </w:r>
      <w:r>
        <w:rPr>
          <w:color w:val="000000" w:themeColor="text1"/>
          <w:u w:color="000000" w:themeColor="text1"/>
        </w:rPr>
        <w:t>ON, AND THE NEW OWNER CERTIFIES</w:t>
      </w:r>
      <w:r w:rsidRPr="00C86808">
        <w:rPr>
          <w:color w:val="000000" w:themeColor="text1"/>
          <w:u w:color="000000" w:themeColor="text1"/>
        </w:rPr>
        <w:t xml:space="preserve"> THAT THE </w:t>
      </w:r>
      <w:r w:rsidR="007B6FF2">
        <w:rPr>
          <w:color w:val="000000" w:themeColor="text1"/>
          <w:u w:color="000000" w:themeColor="text1"/>
        </w:rPr>
        <w:t xml:space="preserve">USE OF THE </w:t>
      </w:r>
      <w:r w:rsidRPr="00C86808">
        <w:rPr>
          <w:color w:val="000000" w:themeColor="text1"/>
          <w:u w:color="000000" w:themeColor="text1"/>
        </w:rPr>
        <w:t>PROPERTY WILL</w:t>
      </w:r>
      <w:r w:rsidR="007B6FF2">
        <w:rPr>
          <w:color w:val="000000" w:themeColor="text1"/>
          <w:u w:color="000000" w:themeColor="text1"/>
        </w:rPr>
        <w:t xml:space="preserve"> NOT CHANGE</w:t>
      </w:r>
      <w:r w:rsidRPr="00C86808">
        <w:rPr>
          <w:color w:val="000000" w:themeColor="text1"/>
          <w:u w:color="000000" w:themeColor="text1"/>
        </w:rPr>
        <w:t xml:space="preserve">, THEN THE PROPERTY MUST CONTINUE TO BE ASSESSED AS AGRICULTURAL PROPERTY, TO PROVIDE FOR A CERTIFICATION FORM AND INSTANCES IN WHICH IT MUST </w:t>
      </w:r>
      <w:r w:rsidR="00BA2243">
        <w:rPr>
          <w:color w:val="000000" w:themeColor="text1"/>
          <w:u w:color="000000" w:themeColor="text1"/>
        </w:rPr>
        <w:t xml:space="preserve">BE </w:t>
      </w:r>
      <w:r w:rsidRPr="00C86808">
        <w:rPr>
          <w:color w:val="000000" w:themeColor="text1"/>
          <w:u w:color="000000" w:themeColor="text1"/>
        </w:rPr>
        <w:t>ACKNOWLEDGED, AND TO PROVIDE NOTIFICATION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687B" w:rsidRDefault="00116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687B" w:rsidRDefault="001168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DC7" w:rsidRPr="00C86808" w:rsidRDefault="0011687B" w:rsidP="00C35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35DC7" w:rsidRPr="00C86808">
        <w:rPr>
          <w:color w:val="000000" w:themeColor="text1"/>
          <w:u w:color="000000" w:themeColor="text1"/>
        </w:rPr>
        <w:t>Article 3, Chapter 43, Title 12 of the 1976 Code is amended by adding:</w:t>
      </w:r>
    </w:p>
    <w:p w:rsidR="00C35DC7" w:rsidRPr="00C86808" w:rsidRDefault="00C35DC7" w:rsidP="00C35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5DC7" w:rsidRPr="00C86808" w:rsidRDefault="00C35DC7" w:rsidP="00C35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808">
        <w:rPr>
          <w:color w:val="000000" w:themeColor="text1"/>
          <w:u w:color="000000" w:themeColor="text1"/>
        </w:rPr>
        <w:tab/>
        <w:t>“Section 12</w:t>
      </w:r>
      <w:r>
        <w:rPr>
          <w:color w:val="000000" w:themeColor="text1"/>
          <w:u w:color="000000" w:themeColor="text1"/>
        </w:rPr>
        <w:noBreakHyphen/>
      </w:r>
      <w:r w:rsidRPr="00C86808">
        <w:rPr>
          <w:color w:val="000000" w:themeColor="text1"/>
          <w:u w:color="000000" w:themeColor="text1"/>
        </w:rPr>
        <w:t>43</w:t>
      </w:r>
      <w:r>
        <w:rPr>
          <w:color w:val="000000" w:themeColor="text1"/>
          <w:u w:color="000000" w:themeColor="text1"/>
        </w:rPr>
        <w:noBreakHyphen/>
      </w:r>
      <w:r w:rsidRPr="00C86808">
        <w:rPr>
          <w:color w:val="000000" w:themeColor="text1"/>
          <w:u w:color="000000" w:themeColor="text1"/>
        </w:rPr>
        <w:t>235.</w:t>
      </w:r>
      <w:r w:rsidRPr="00C86808">
        <w:rPr>
          <w:color w:val="000000" w:themeColor="text1"/>
          <w:u w:color="000000" w:themeColor="text1"/>
        </w:rPr>
        <w:tab/>
        <w:t>(A)</w:t>
      </w:r>
      <w:r w:rsidRPr="00C86808">
        <w:rPr>
          <w:color w:val="000000" w:themeColor="text1"/>
          <w:u w:color="000000" w:themeColor="text1"/>
        </w:rPr>
        <w:tab/>
        <w:t>Notwithstanding any other provision of law, if agricultural real property being assessed pursuant to Section 12</w:t>
      </w:r>
      <w:r>
        <w:rPr>
          <w:color w:val="000000" w:themeColor="text1"/>
          <w:u w:color="000000" w:themeColor="text1"/>
        </w:rPr>
        <w:noBreakHyphen/>
      </w:r>
      <w:r w:rsidRPr="00C86808">
        <w:rPr>
          <w:color w:val="000000" w:themeColor="text1"/>
          <w:u w:color="000000" w:themeColor="text1"/>
        </w:rPr>
        <w:t>43</w:t>
      </w:r>
      <w:r>
        <w:rPr>
          <w:color w:val="000000" w:themeColor="text1"/>
          <w:u w:color="000000" w:themeColor="text1"/>
        </w:rPr>
        <w:noBreakHyphen/>
      </w:r>
      <w:r w:rsidRPr="00C86808">
        <w:rPr>
          <w:color w:val="000000" w:themeColor="text1"/>
          <w:u w:color="000000" w:themeColor="text1"/>
        </w:rPr>
        <w:t>220(d)</w:t>
      </w:r>
      <w:r w:rsidR="00BA2243">
        <w:rPr>
          <w:color w:val="000000" w:themeColor="text1"/>
          <w:u w:color="000000" w:themeColor="text1"/>
        </w:rPr>
        <w:t>,</w:t>
      </w:r>
      <w:r w:rsidRPr="00C86808">
        <w:rPr>
          <w:color w:val="000000" w:themeColor="text1"/>
          <w:u w:color="000000" w:themeColor="text1"/>
        </w:rPr>
        <w:t xml:space="preserve"> is transferred to another pers</w:t>
      </w:r>
      <w:r>
        <w:rPr>
          <w:color w:val="000000" w:themeColor="text1"/>
          <w:u w:color="000000" w:themeColor="text1"/>
        </w:rPr>
        <w:t>on, and the new owner certifies</w:t>
      </w:r>
      <w:r w:rsidRPr="00C86808">
        <w:rPr>
          <w:color w:val="000000" w:themeColor="text1"/>
          <w:u w:color="000000" w:themeColor="text1"/>
        </w:rPr>
        <w:t xml:space="preserve"> that the </w:t>
      </w:r>
      <w:r w:rsidR="007B6FF2">
        <w:rPr>
          <w:color w:val="000000" w:themeColor="text1"/>
          <w:u w:color="000000" w:themeColor="text1"/>
        </w:rPr>
        <w:t xml:space="preserve">use of the </w:t>
      </w:r>
      <w:r w:rsidRPr="00C86808">
        <w:rPr>
          <w:color w:val="000000" w:themeColor="text1"/>
          <w:u w:color="000000" w:themeColor="text1"/>
        </w:rPr>
        <w:t xml:space="preserve">property will </w:t>
      </w:r>
      <w:r w:rsidR="007B6FF2">
        <w:rPr>
          <w:color w:val="000000" w:themeColor="text1"/>
          <w:u w:color="000000" w:themeColor="text1"/>
        </w:rPr>
        <w:t>not change</w:t>
      </w:r>
      <w:r w:rsidRPr="00C86808">
        <w:rPr>
          <w:color w:val="000000" w:themeColor="text1"/>
          <w:u w:color="000000" w:themeColor="text1"/>
        </w:rPr>
        <w:t xml:space="preserve">, then the certification is </w:t>
      </w:r>
      <w:r>
        <w:rPr>
          <w:color w:val="000000" w:themeColor="text1"/>
          <w:u w:color="000000" w:themeColor="text1"/>
        </w:rPr>
        <w:t>considered</w:t>
      </w:r>
      <w:r w:rsidRPr="00C86808">
        <w:rPr>
          <w:color w:val="000000" w:themeColor="text1"/>
          <w:u w:color="000000" w:themeColor="text1"/>
        </w:rPr>
        <w:t xml:space="preserve"> to be an application for the assessment pursuant to Section 12</w:t>
      </w:r>
      <w:r>
        <w:rPr>
          <w:color w:val="000000" w:themeColor="text1"/>
          <w:u w:color="000000" w:themeColor="text1"/>
        </w:rPr>
        <w:noBreakHyphen/>
      </w:r>
      <w:r w:rsidRPr="00C86808">
        <w:rPr>
          <w:color w:val="000000" w:themeColor="text1"/>
          <w:u w:color="000000" w:themeColor="text1"/>
        </w:rPr>
        <w:t>43</w:t>
      </w:r>
      <w:r>
        <w:rPr>
          <w:color w:val="000000" w:themeColor="text1"/>
          <w:u w:color="000000" w:themeColor="text1"/>
        </w:rPr>
        <w:noBreakHyphen/>
      </w:r>
      <w:r w:rsidRPr="00C86808">
        <w:rPr>
          <w:color w:val="000000" w:themeColor="text1"/>
          <w:u w:color="000000" w:themeColor="text1"/>
        </w:rPr>
        <w:t>220(d), and the property must continue to be assessed pursuant to Section 12</w:t>
      </w:r>
      <w:r>
        <w:rPr>
          <w:color w:val="000000" w:themeColor="text1"/>
          <w:u w:color="000000" w:themeColor="text1"/>
        </w:rPr>
        <w:noBreakHyphen/>
      </w:r>
      <w:r w:rsidRPr="00C86808">
        <w:rPr>
          <w:color w:val="000000" w:themeColor="text1"/>
          <w:u w:color="000000" w:themeColor="text1"/>
        </w:rPr>
        <w:t>43</w:t>
      </w:r>
      <w:r>
        <w:rPr>
          <w:color w:val="000000" w:themeColor="text1"/>
          <w:u w:color="000000" w:themeColor="text1"/>
        </w:rPr>
        <w:noBreakHyphen/>
      </w:r>
      <w:r w:rsidRPr="00C86808">
        <w:rPr>
          <w:color w:val="000000" w:themeColor="text1"/>
          <w:u w:color="000000" w:themeColor="text1"/>
        </w:rPr>
        <w:t>220(d)</w:t>
      </w:r>
      <w:r w:rsidR="00BA2243">
        <w:rPr>
          <w:color w:val="000000" w:themeColor="text1"/>
          <w:u w:color="000000" w:themeColor="text1"/>
        </w:rPr>
        <w:t>,</w:t>
      </w:r>
      <w:r w:rsidRPr="00C86808">
        <w:rPr>
          <w:color w:val="000000" w:themeColor="text1"/>
          <w:u w:color="000000" w:themeColor="text1"/>
        </w:rPr>
        <w:t xml:space="preserve"> unless the property does not otherwise qualify.</w:t>
      </w:r>
    </w:p>
    <w:p w:rsidR="00C35DC7" w:rsidRPr="00C86808" w:rsidRDefault="00C35DC7" w:rsidP="00C35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808">
        <w:rPr>
          <w:color w:val="000000" w:themeColor="text1"/>
          <w:u w:color="000000" w:themeColor="text1"/>
        </w:rPr>
        <w:tab/>
        <w:t>(B)</w:t>
      </w:r>
      <w:r w:rsidRPr="00C86808">
        <w:rPr>
          <w:color w:val="000000" w:themeColor="text1"/>
          <w:u w:color="000000" w:themeColor="text1"/>
        </w:rPr>
        <w:tab/>
        <w:t>The assessor of each county shall develop a form by which a person may make a certification pursuant to subsection (A).</w:t>
      </w:r>
    </w:p>
    <w:p w:rsidR="00C35DC7" w:rsidRPr="00C86808" w:rsidRDefault="00C35DC7" w:rsidP="00C35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808">
        <w:rPr>
          <w:color w:val="000000" w:themeColor="text1"/>
          <w:u w:color="000000" w:themeColor="text1"/>
        </w:rPr>
        <w:tab/>
        <w:t>(C)(1)</w:t>
      </w:r>
      <w:r w:rsidRPr="00C86808">
        <w:rPr>
          <w:color w:val="000000" w:themeColor="text1"/>
          <w:u w:color="000000" w:themeColor="text1"/>
        </w:rPr>
        <w:tab/>
        <w:t xml:space="preserve">If agricultural real property is sold or is conveyed in a manner </w:t>
      </w:r>
      <w:r>
        <w:rPr>
          <w:color w:val="000000" w:themeColor="text1"/>
          <w:u w:color="000000" w:themeColor="text1"/>
        </w:rPr>
        <w:t>in which</w:t>
      </w:r>
      <w:r w:rsidRPr="00C86808">
        <w:rPr>
          <w:color w:val="000000" w:themeColor="text1"/>
          <w:u w:color="000000" w:themeColor="text1"/>
        </w:rPr>
        <w:t xml:space="preserve"> an attorney is required by la</w:t>
      </w:r>
      <w:r>
        <w:rPr>
          <w:color w:val="000000" w:themeColor="text1"/>
          <w:u w:color="000000" w:themeColor="text1"/>
        </w:rPr>
        <w:t>w to close the transaction,</w:t>
      </w:r>
      <w:r w:rsidRPr="00C86808">
        <w:rPr>
          <w:color w:val="000000" w:themeColor="text1"/>
          <w:u w:color="000000" w:themeColor="text1"/>
        </w:rPr>
        <w:t xml:space="preserve"> the closing attorney must provide the new owner with the certification form developed pursuant to subsection (B), and the </w:t>
      </w:r>
      <w:r w:rsidRPr="00C86808">
        <w:rPr>
          <w:color w:val="000000" w:themeColor="text1"/>
          <w:u w:color="000000" w:themeColor="text1"/>
        </w:rPr>
        <w:lastRenderedPageBreak/>
        <w:t>new owner must sign an acknowledgement declaring receipt of the certification form.</w:t>
      </w:r>
    </w:p>
    <w:p w:rsidR="00C35DC7" w:rsidRPr="00C86808" w:rsidRDefault="00C35DC7" w:rsidP="00C35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808">
        <w:rPr>
          <w:color w:val="000000" w:themeColor="text1"/>
          <w:u w:color="000000" w:themeColor="text1"/>
        </w:rPr>
        <w:tab/>
      </w:r>
      <w:r w:rsidRPr="00C86808">
        <w:rPr>
          <w:color w:val="000000" w:themeColor="text1"/>
          <w:u w:color="000000" w:themeColor="text1"/>
        </w:rPr>
        <w:tab/>
        <w:t>(2)</w:t>
      </w:r>
      <w:r w:rsidRPr="00C86808">
        <w:rPr>
          <w:color w:val="000000" w:themeColor="text1"/>
          <w:u w:color="000000" w:themeColor="text1"/>
        </w:rPr>
        <w:tab/>
        <w:t>If agricultural real property is transferred by a deed of distribution or through a</w:t>
      </w:r>
      <w:r>
        <w:rPr>
          <w:color w:val="000000" w:themeColor="text1"/>
          <w:u w:color="000000" w:themeColor="text1"/>
        </w:rPr>
        <w:t>ny other method of probate,</w:t>
      </w:r>
      <w:r w:rsidRPr="00C86808">
        <w:rPr>
          <w:color w:val="000000" w:themeColor="text1"/>
          <w:u w:color="000000" w:themeColor="text1"/>
        </w:rPr>
        <w:t xml:space="preserve"> before closing the estate, the probate court must provide the new owner with the certification form developed pursuant to subsection (B), and the new owner must sign an acknowledgement declaring receipt of the certification form.</w:t>
      </w:r>
    </w:p>
    <w:p w:rsidR="00C35DC7" w:rsidRPr="00C86808" w:rsidRDefault="00C35DC7" w:rsidP="00C35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6808">
        <w:rPr>
          <w:color w:val="000000" w:themeColor="text1"/>
          <w:u w:color="000000" w:themeColor="text1"/>
        </w:rPr>
        <w:tab/>
        <w:t>(D)</w:t>
      </w:r>
      <w:r w:rsidRPr="00C86808">
        <w:rPr>
          <w:color w:val="000000" w:themeColor="text1"/>
          <w:u w:color="000000" w:themeColor="text1"/>
        </w:rPr>
        <w:tab/>
        <w:t>If the assessor does not receive a signed certification form from the new owner within sixty days of the transfer, the assessor must notify the new owner of the impending change in assessment ratio unless the new owner makes the certification pursuant to subsection (A)</w:t>
      </w:r>
      <w:r w:rsidR="00BA2243">
        <w:rPr>
          <w:color w:val="000000" w:themeColor="text1"/>
          <w:u w:color="000000" w:themeColor="text1"/>
        </w:rPr>
        <w:t>,</w:t>
      </w:r>
      <w:r w:rsidRPr="00C86808">
        <w:rPr>
          <w:color w:val="000000" w:themeColor="text1"/>
          <w:u w:color="000000" w:themeColor="text1"/>
        </w:rPr>
        <w:t xml:space="preserve"> or otherwise applies to be assessed pursuant to Section 12</w:t>
      </w:r>
      <w:r>
        <w:rPr>
          <w:color w:val="000000" w:themeColor="text1"/>
          <w:u w:color="000000" w:themeColor="text1"/>
        </w:rPr>
        <w:noBreakHyphen/>
      </w:r>
      <w:r w:rsidRPr="00C86808">
        <w:rPr>
          <w:color w:val="000000" w:themeColor="text1"/>
          <w:u w:color="000000" w:themeColor="text1"/>
        </w:rPr>
        <w:t>43</w:t>
      </w:r>
      <w:r>
        <w:rPr>
          <w:color w:val="000000" w:themeColor="text1"/>
          <w:u w:color="000000" w:themeColor="text1"/>
        </w:rPr>
        <w:noBreakHyphen/>
      </w:r>
      <w:r w:rsidRPr="00C86808">
        <w:rPr>
          <w:color w:val="000000" w:themeColor="text1"/>
          <w:u w:color="000000" w:themeColor="text1"/>
        </w:rPr>
        <w:t>220(d).  This notification must include the certification form and information regarding the manner in which a person may apply to be assessed pursuant to Section 12</w:t>
      </w:r>
      <w:r>
        <w:rPr>
          <w:color w:val="000000" w:themeColor="text1"/>
          <w:u w:color="000000" w:themeColor="text1"/>
        </w:rPr>
        <w:noBreakHyphen/>
      </w:r>
      <w:r w:rsidRPr="00C86808">
        <w:rPr>
          <w:color w:val="000000" w:themeColor="text1"/>
          <w:u w:color="000000" w:themeColor="text1"/>
        </w:rPr>
        <w:t>43</w:t>
      </w:r>
      <w:r>
        <w:rPr>
          <w:color w:val="000000" w:themeColor="text1"/>
          <w:u w:color="000000" w:themeColor="text1"/>
        </w:rPr>
        <w:noBreakHyphen/>
      </w:r>
      <w:r w:rsidRPr="00C86808">
        <w:rPr>
          <w:color w:val="000000" w:themeColor="text1"/>
          <w:u w:color="000000" w:themeColor="text1"/>
        </w:rPr>
        <w:t>220(d).  If the assessor does not receive a response from the new owner within thirty days of initiall</w:t>
      </w:r>
      <w:r>
        <w:rPr>
          <w:color w:val="000000" w:themeColor="text1"/>
          <w:u w:color="000000" w:themeColor="text1"/>
        </w:rPr>
        <w:t xml:space="preserve">y notifying the new owner, </w:t>
      </w:r>
      <w:r w:rsidRPr="00C86808">
        <w:rPr>
          <w:color w:val="000000" w:themeColor="text1"/>
          <w:u w:color="000000" w:themeColor="text1"/>
        </w:rPr>
        <w:t>the assessor must notify the new owner again in the same manner.”</w:t>
      </w:r>
    </w:p>
    <w:p w:rsidR="00C35DC7" w:rsidRPr="00C86808" w:rsidRDefault="00C35DC7" w:rsidP="00C35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87B" w:rsidRDefault="00C35DC7" w:rsidP="00C35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86808">
        <w:rPr>
          <w:color w:val="000000" w:themeColor="text1"/>
          <w:u w:color="000000" w:themeColor="text1"/>
        </w:rPr>
        <w:t>SECTION</w:t>
      </w:r>
      <w:r w:rsidRPr="00C86808">
        <w:rPr>
          <w:color w:val="000000" w:themeColor="text1"/>
          <w:u w:color="000000" w:themeColor="text1"/>
        </w:rPr>
        <w:tab/>
        <w:t>2.</w:t>
      </w:r>
      <w:r w:rsidRPr="00C86808">
        <w:rPr>
          <w:color w:val="000000" w:themeColor="text1"/>
          <w:u w:color="000000" w:themeColor="text1"/>
        </w:rPr>
        <w:tab/>
        <w:t>This act takes effect upon approval by the Governor and applies to property tax years beginning after 2015.</w:t>
      </w:r>
    </w:p>
    <w:p w:rsidR="003042E1" w:rsidRDefault="00C35DC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3AFC" w:rsidRDefault="00D83AFC" w:rsidP="00D83AFC">
      <w:pPr>
        <w:suppressAutoHyphens/>
      </w:pPr>
    </w:p>
    <w:sectPr w:rsidR="00D83AFC" w:rsidSect="00D83A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687B" w:rsidRDefault="0011687B" w:rsidP="009F0C77">
      <w:r>
        <w:separator/>
      </w:r>
    </w:p>
  </w:endnote>
  <w:endnote w:type="continuationSeparator" w:id="0">
    <w:p w:rsidR="0011687B" w:rsidRDefault="001168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BE6243-046A-44E0-BB87-9D59B4FC93DE}"/>
    <w:embedBold r:id="rId2" w:fontKey="{2A2B6832-3065-430C-A015-AF753E4082EB}"/>
  </w:font>
  <w:font w:name="Calibri">
    <w:panose1 w:val="020F0502020204030204"/>
    <w:charset w:val="00"/>
    <w:family w:val="swiss"/>
    <w:pitch w:val="variable"/>
    <w:sig w:usb0="E00002FF" w:usb1="4000ACFF" w:usb2="00000001" w:usb3="00000000" w:csb0="0000019F" w:csb1="00000000"/>
    <w:embedRegular r:id="rId3" w:fontKey="{14CA5DC6-6CBC-4095-AE62-73DD5C97F5ED}"/>
  </w:font>
  <w:font w:name="Cambria">
    <w:panose1 w:val="02040503050406030204"/>
    <w:charset w:val="00"/>
    <w:family w:val="roman"/>
    <w:pitch w:val="variable"/>
    <w:sig w:usb0="E00002FF" w:usb1="400004FF" w:usb2="00000000" w:usb3="00000000" w:csb0="0000019F" w:csb1="00000000"/>
    <w:embedRegular r:id="rId4" w:fontKey="{3A0F540F-891F-4199-8B67-94C3C888F0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2E1" w:rsidRPr="00D83AFC" w:rsidRDefault="00D83AFC" w:rsidP="00D83AFC">
    <w:pPr>
      <w:pStyle w:val="Footer"/>
      <w:tabs>
        <w:tab w:val="clear" w:pos="4680"/>
        <w:tab w:val="clear" w:pos="9360"/>
        <w:tab w:val="center" w:pos="2995"/>
      </w:tabs>
      <w:spacing w:before="120"/>
    </w:pPr>
    <w:r>
      <w:t>[4821]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687B" w:rsidRDefault="0011687B" w:rsidP="009F0C77">
      <w:r>
        <w:separator/>
      </w:r>
    </w:p>
  </w:footnote>
  <w:footnote w:type="continuationSeparator" w:id="0">
    <w:p w:rsidR="0011687B" w:rsidRDefault="001168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8DG16"/>
    <w:docVar w:name="CoverBillType" w:val="b"/>
    <w:docVar w:name="docpath" w:val="L:\Council\bills\BBM\9428DG16.DOCX"/>
    <w:docVar w:name="dvBillNumber" w:val="4821"/>
    <w:docVar w:name="dvBillNumberPrefix" w:val="H. "/>
    <w:docVar w:name="dvOriginalBody" w:val="House"/>
    <w:docVar w:name="dvSteno" w:val="BBM"/>
    <w:docVar w:name="NameofBody" w:val="h"/>
    <w:docVar w:name="vgroup2" w:val="Council"/>
  </w:docVars>
  <w:rsids>
    <w:rsidRoot w:val="0011687B"/>
    <w:rsid w:val="00011869"/>
    <w:rsid w:val="00015CD6"/>
    <w:rsid w:val="00044E13"/>
    <w:rsid w:val="000803F0"/>
    <w:rsid w:val="000E1785"/>
    <w:rsid w:val="000F40FA"/>
    <w:rsid w:val="0010776B"/>
    <w:rsid w:val="0011687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042E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11825"/>
    <w:rsid w:val="00734F00"/>
    <w:rsid w:val="007A70AE"/>
    <w:rsid w:val="007B6FF2"/>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A2243"/>
    <w:rsid w:val="00BE3C22"/>
    <w:rsid w:val="00C0345E"/>
    <w:rsid w:val="00C3483A"/>
    <w:rsid w:val="00C35DC7"/>
    <w:rsid w:val="00C74E9D"/>
    <w:rsid w:val="00C82FD3"/>
    <w:rsid w:val="00C92819"/>
    <w:rsid w:val="00CC6B7B"/>
    <w:rsid w:val="00CD2089"/>
    <w:rsid w:val="00D73A67"/>
    <w:rsid w:val="00D83AFC"/>
    <w:rsid w:val="00D970A9"/>
    <w:rsid w:val="00DF3845"/>
    <w:rsid w:val="00E260E3"/>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80C020-C909-41FD-A3E0-66EE5F245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E6426-916E-4809-ADD7-197B71B70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7B1DFD0D.dotm</Template>
  <TotalTime>0</TotalTime>
  <Pages>2</Pages>
  <Words>444</Words>
  <Characters>2290</Characters>
  <Application>Microsoft Office Word</Application>
  <DocSecurity>0</DocSecurity>
  <Lines>65</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4821 Text of Previous Version (Feb. 3, 2016) - South Carolina Legislature Online</dc:title>
  <dc:creator>BRENDA MELTON</dc:creator>
  <cp:lastModifiedBy>N Cumfer</cp:lastModifiedBy>
  <cp:revision>2</cp:revision>
  <dcterms:created xsi:type="dcterms:W3CDTF">2016-02-03T15:23:00Z</dcterms:created>
  <dcterms:modified xsi:type="dcterms:W3CDTF">2016-02-03T15:23:00Z</dcterms:modified>
</cp:coreProperties>
</file>