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2F2" w:rsidRDefault="00C022F2" w:rsidP="00C022F2">
      <w:pPr>
        <w:tabs>
          <w:tab w:val="right" w:pos="5933"/>
        </w:tabs>
        <w:suppressAutoHyphens/>
      </w:pPr>
      <w:r>
        <w:t>INTRODUCED</w:t>
      </w:r>
    </w:p>
    <w:p w:rsidR="00C022F2" w:rsidRDefault="00C022F2" w:rsidP="00C022F2">
      <w:pPr>
        <w:tabs>
          <w:tab w:val="right" w:pos="5933"/>
        </w:tabs>
        <w:suppressAutoHyphens/>
      </w:pPr>
      <w:r>
        <w:t>May 1, 2018</w:t>
      </w:r>
    </w:p>
    <w:p w:rsidR="00C022F2" w:rsidRDefault="00C022F2" w:rsidP="00C022F2">
      <w:pPr>
        <w:tabs>
          <w:tab w:val="right" w:pos="5933"/>
        </w:tabs>
        <w:suppressAutoHyphens/>
      </w:pPr>
    </w:p>
    <w:p w:rsidR="00C022F2" w:rsidRPr="00C022F2" w:rsidRDefault="00C022F2" w:rsidP="00C022F2">
      <w:pPr>
        <w:tabs>
          <w:tab w:val="right" w:pos="5933"/>
        </w:tabs>
        <w:suppressAutoHyphens/>
      </w:pPr>
      <w:r>
        <w:tab/>
      </w:r>
      <w:r>
        <w:rPr>
          <w:b/>
          <w:sz w:val="36"/>
        </w:rPr>
        <w:t>S. 1043</w:t>
      </w:r>
    </w:p>
    <w:p w:rsidR="00C022F2" w:rsidRDefault="00C022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2F2" w:rsidRDefault="00C022F2" w:rsidP="00C0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Turner and Talley</w:t>
      </w:r>
    </w:p>
    <w:p w:rsidR="00C022F2" w:rsidRDefault="00C022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2F2" w:rsidRDefault="00C022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5/1/18--H.</w:t>
      </w:r>
    </w:p>
    <w:p w:rsidR="00C022F2" w:rsidRDefault="00C022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 2018.</w:t>
      </w:r>
    </w:p>
    <w:p w:rsidR="00C022F2" w:rsidRPr="00C022F2" w:rsidRDefault="00C022F2" w:rsidP="00C0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022F2" w:rsidRDefault="00C022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2F2" w:rsidRDefault="00C022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022F2" w:rsidSect="006D43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22C6" w:rsidRDefault="002622C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7A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725" w:rsidRPr="002568B2" w:rsidRDefault="00011725" w:rsidP="0001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568B2">
        <w:rPr>
          <w:color w:val="000000" w:themeColor="text1"/>
          <w:u w:color="000000" w:themeColor="text1"/>
        </w:rPr>
        <w:t xml:space="preserve">TO EXTEND THE PROVISIONS OF THE SOUTH CAROLINA ABANDONED BUILDINGS REVITALIZATION ACT </w:t>
      </w:r>
      <w:r>
        <w:rPr>
          <w:color w:val="000000" w:themeColor="text1"/>
          <w:u w:color="000000" w:themeColor="text1"/>
        </w:rPr>
        <w:t xml:space="preserve">AS CONTAINED IN CHAPTER 67, TITLE 12 OF THE 1976 CODE </w:t>
      </w:r>
      <w:r w:rsidRPr="002568B2">
        <w:rPr>
          <w:color w:val="000000" w:themeColor="text1"/>
          <w:u w:color="000000" w:themeColor="text1"/>
        </w:rPr>
        <w:t>UNTIL DECEMBER 31, 2025.</w:t>
      </w:r>
      <w:bookmarkEnd w:id="1"/>
    </w:p>
    <w:p w:rsidR="00DC07B8" w:rsidRDefault="00DC0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7AE2" w:rsidRDefault="009C7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7AE2" w:rsidRDefault="009C7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7B8"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B3D57">
        <w:t>SECTION</w:t>
      </w:r>
      <w:r w:rsidRPr="008B3D57">
        <w:tab/>
        <w:t>1.</w:t>
      </w:r>
      <w:r w:rsidRPr="008B3D57">
        <w:tab/>
      </w:r>
      <w:r w:rsidRPr="008B3D57">
        <w:rPr>
          <w:color w:val="000000" w:themeColor="text1"/>
          <w:u w:color="000000" w:themeColor="text1"/>
        </w:rPr>
        <w:t>Notwithstanding SECTION 1.B. of Act 57 of 2013, the provisions of Chapter 67, Title 12 of the 1976 Code are repealed on December 31, 2021.</w:t>
      </w:r>
    </w:p>
    <w:p w:rsidR="00DC07B8"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C07B8"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A.</w:t>
      </w:r>
      <w:r>
        <w:rPr>
          <w:snapToGrid w:val="0"/>
        </w:rPr>
        <w:tab/>
        <w:t>Section 12-67-140 of the 1976 Code is amended by adding an appropriately lettered subsection at the end to read:</w:t>
      </w:r>
    </w:p>
    <w:p w:rsidR="00DC07B8"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C07B8"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  )</w:t>
      </w:r>
      <w:r>
        <w:rPr>
          <w:snapToGrid w:val="0"/>
        </w:rPr>
        <w:tab/>
      </w:r>
      <w:r w:rsidRPr="00D344C7">
        <w:rPr>
          <w:snapToGrid w:val="0"/>
          <w:color w:val="000000" w:themeColor="text1"/>
          <w:u w:color="000000" w:themeColor="text1"/>
        </w:rPr>
        <w:t>For building sites which have had no portion thereof placed into service before July 1, 2018, and upon which is located a redeveloped multi</w:t>
      </w:r>
      <w:r>
        <w:rPr>
          <w:snapToGrid w:val="0"/>
          <w:color w:val="000000" w:themeColor="text1"/>
          <w:u w:color="000000" w:themeColor="text1"/>
        </w:rPr>
        <w:noBreakHyphen/>
        <w:t>floor</w:t>
      </w:r>
      <w:r w:rsidRPr="00D344C7">
        <w:rPr>
          <w:snapToGrid w:val="0"/>
          <w:color w:val="000000" w:themeColor="text1"/>
          <w:u w:color="000000" w:themeColor="text1"/>
        </w:rPr>
        <w:t xml:space="preserve"> structure</w:t>
      </w:r>
      <w:r>
        <w:rPr>
          <w:snapToGrid w:val="0"/>
          <w:color w:val="000000" w:themeColor="text1"/>
          <w:u w:color="000000" w:themeColor="text1"/>
        </w:rPr>
        <w:t xml:space="preserve"> that is listed on the National Register of Historic Places</w:t>
      </w:r>
      <w:r w:rsidRPr="00D344C7">
        <w:rPr>
          <w:snapToGrid w:val="0"/>
          <w:color w:val="000000" w:themeColor="text1"/>
          <w:u w:color="000000" w:themeColor="text1"/>
        </w:rPr>
        <w:t xml:space="preserve">, the taxpayer may subdivide </w:t>
      </w:r>
      <w:r>
        <w:rPr>
          <w:snapToGrid w:val="0"/>
          <w:color w:val="000000" w:themeColor="text1"/>
          <w:u w:color="000000" w:themeColor="text1"/>
        </w:rPr>
        <w:t>the structure</w:t>
      </w:r>
      <w:r w:rsidRPr="00D344C7">
        <w:rPr>
          <w:snapToGrid w:val="0"/>
          <w:color w:val="000000" w:themeColor="text1"/>
          <w:u w:color="000000" w:themeColor="text1"/>
        </w:rPr>
        <w:t xml:space="preserve"> into separate units in the manner as provided for in this chapter, except that </w:t>
      </w:r>
      <w:r>
        <w:rPr>
          <w:snapToGrid w:val="0"/>
          <w:color w:val="000000" w:themeColor="text1"/>
          <w:u w:color="000000" w:themeColor="text1"/>
        </w:rPr>
        <w:t xml:space="preserve">up to seven separate floors may be considered seven separate subdivided units if a floor is redeveloped for the exclusive use as a residential apartment or apartments.  Before </w:t>
      </w:r>
      <w:r w:rsidRPr="00D344C7">
        <w:rPr>
          <w:snapToGrid w:val="0"/>
          <w:color w:val="000000" w:themeColor="text1"/>
          <w:u w:color="000000" w:themeColor="text1"/>
        </w:rPr>
        <w:t>making an initial claim for tax credits pursuant to this chapter, in lieu of the requirements of Section 12</w:t>
      </w:r>
      <w:r>
        <w:rPr>
          <w:snapToGrid w:val="0"/>
          <w:color w:val="000000" w:themeColor="text1"/>
          <w:u w:color="000000" w:themeColor="text1"/>
        </w:rPr>
        <w:noBreakHyphen/>
      </w:r>
      <w:r w:rsidRPr="00D344C7">
        <w:rPr>
          <w:snapToGrid w:val="0"/>
          <w:color w:val="000000" w:themeColor="text1"/>
          <w:u w:color="000000" w:themeColor="text1"/>
        </w:rPr>
        <w:t>67</w:t>
      </w:r>
      <w:r>
        <w:rPr>
          <w:snapToGrid w:val="0"/>
          <w:color w:val="000000" w:themeColor="text1"/>
          <w:u w:color="000000" w:themeColor="text1"/>
        </w:rPr>
        <w:noBreakHyphen/>
      </w:r>
      <w:r w:rsidRPr="00D344C7">
        <w:rPr>
          <w:snapToGrid w:val="0"/>
          <w:color w:val="000000" w:themeColor="text1"/>
          <w:u w:color="000000" w:themeColor="text1"/>
        </w:rPr>
        <w:t>140(B)(1), a taxpayer utilizing the provisions of this sub</w:t>
      </w:r>
      <w:r>
        <w:rPr>
          <w:snapToGrid w:val="0"/>
          <w:color w:val="000000" w:themeColor="text1"/>
          <w:u w:color="000000" w:themeColor="text1"/>
        </w:rPr>
        <w:t>section</w:t>
      </w:r>
      <w:r w:rsidRPr="00D344C7">
        <w:rPr>
          <w:color w:val="000000" w:themeColor="text1"/>
          <w:u w:color="000000" w:themeColor="text1"/>
        </w:rPr>
        <w:t xml:space="preserve"> must notify the department in writing of his intent to claim tax credits pursuant to this chapter, providing any information required by the department, including, but not necessarily limited to, the location of the building site, the actual expenses incurred in connection with </w:t>
      </w:r>
      <w:r>
        <w:rPr>
          <w:color w:val="000000" w:themeColor="text1"/>
          <w:u w:color="000000" w:themeColor="text1"/>
        </w:rPr>
        <w:t xml:space="preserve">the </w:t>
      </w:r>
      <w:r w:rsidRPr="00D344C7">
        <w:rPr>
          <w:color w:val="000000" w:themeColor="text1"/>
          <w:u w:color="000000" w:themeColor="text1"/>
        </w:rPr>
        <w:t xml:space="preserve">rehabilitation of the building site, </w:t>
      </w:r>
      <w:r>
        <w:rPr>
          <w:color w:val="000000" w:themeColor="text1"/>
          <w:u w:color="000000" w:themeColor="text1"/>
        </w:rPr>
        <w:t xml:space="preserve">the number of units for which a credit is being claimed, </w:t>
      </w:r>
      <w:r w:rsidRPr="00D344C7">
        <w:rPr>
          <w:color w:val="000000" w:themeColor="text1"/>
          <w:u w:color="000000" w:themeColor="text1"/>
        </w:rPr>
        <w:t xml:space="preserve">and the date the building site will be placed in service. Except as </w:t>
      </w:r>
      <w:r w:rsidRPr="00D344C7">
        <w:rPr>
          <w:color w:val="000000" w:themeColor="text1"/>
          <w:u w:color="000000" w:themeColor="text1"/>
        </w:rPr>
        <w:lastRenderedPageBreak/>
        <w:t>specifically provided otherwise in this sub</w:t>
      </w:r>
      <w:r>
        <w:rPr>
          <w:color w:val="000000" w:themeColor="text1"/>
          <w:u w:color="000000" w:themeColor="text1"/>
        </w:rPr>
        <w:t>section</w:t>
      </w:r>
      <w:r w:rsidRPr="00D344C7">
        <w:rPr>
          <w:color w:val="000000" w:themeColor="text1"/>
          <w:u w:color="000000" w:themeColor="text1"/>
        </w:rPr>
        <w:t>, taxpayers are subject to all other requirements of this chapter.”</w:t>
      </w:r>
    </w:p>
    <w:p w:rsidR="00DC07B8"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C07B8"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B.</w:t>
      </w:r>
      <w:r>
        <w:rPr>
          <w:snapToGrid w:val="0"/>
        </w:rPr>
        <w:tab/>
        <w:t>This SECTION takes effect upon approval by the Governor and first applies to eligible building sites placed in service after June 30, 2018.</w:t>
      </w:r>
    </w:p>
    <w:p w:rsidR="00DC07B8"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C7AE2"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3.</w:t>
      </w:r>
      <w:r>
        <w:rPr>
          <w:snapToGrid w:val="0"/>
        </w:rPr>
        <w:tab/>
        <w:t>Except where specified otherwise, this act takes effect upon approval by the Governor.</w:t>
      </w:r>
    </w:p>
    <w:p w:rsidR="007A4909" w:rsidRDefault="008A030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59B1" w:rsidRDefault="00A859B1" w:rsidP="00A859B1">
      <w:pPr>
        <w:suppressAutoHyphens/>
      </w:pPr>
    </w:p>
    <w:sectPr w:rsidR="00A859B1" w:rsidSect="006D43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AE2" w:rsidRDefault="009C7AE2" w:rsidP="009F0C77">
      <w:r>
        <w:separator/>
      </w:r>
    </w:p>
  </w:endnote>
  <w:endnote w:type="continuationSeparator" w:id="0">
    <w:p w:rsidR="009C7AE2" w:rsidRDefault="009C7A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C78C41-0CFB-4C0E-8290-A86ED1C67F27}"/>
    <w:embedBold r:id="rId2" w:fontKey="{E54F6031-3679-4CB9-99F2-58E2621F45DA}"/>
  </w:font>
  <w:font w:name="Calibri">
    <w:panose1 w:val="020F0502020204030204"/>
    <w:charset w:val="00"/>
    <w:family w:val="swiss"/>
    <w:pitch w:val="variable"/>
    <w:sig w:usb0="E00002FF" w:usb1="4000ACFF" w:usb2="00000001" w:usb3="00000000" w:csb0="0000019F" w:csb1="00000000"/>
    <w:embedRegular r:id="rId3" w:fontKey="{CA1B7AEA-C084-43EE-8D3C-4B7E2FACA597}"/>
  </w:font>
  <w:font w:name="Cambria">
    <w:panose1 w:val="02040503050406030204"/>
    <w:charset w:val="00"/>
    <w:family w:val="roman"/>
    <w:pitch w:val="variable"/>
    <w:sig w:usb0="E00002FF" w:usb1="400004FF" w:usb2="00000000" w:usb3="00000000" w:csb0="0000019F" w:csb1="00000000"/>
    <w:embedRegular r:id="rId4" w:fontKey="{6974B161-945A-4638-A087-836704424E24}"/>
  </w:font>
  <w:font w:name="Segoe UI">
    <w:panose1 w:val="020B0502040204020203"/>
    <w:charset w:val="00"/>
    <w:family w:val="swiss"/>
    <w:pitch w:val="variable"/>
    <w:sig w:usb0="E10022FF" w:usb1="C000E47F" w:usb2="00000029" w:usb3="00000000" w:csb0="000001DF" w:csb1="00000000"/>
    <w:embedRegular r:id="rId5" w:fontKey="{3EF50319-E170-4EF2-9C4E-35B2D6B8DD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909" w:rsidRPr="002622C6" w:rsidRDefault="002622C6" w:rsidP="002622C6">
    <w:pPr>
      <w:pStyle w:val="Footer"/>
      <w:tabs>
        <w:tab w:val="clear" w:pos="4680"/>
        <w:tab w:val="clear" w:pos="9360"/>
        <w:tab w:val="center" w:pos="2995"/>
      </w:tabs>
      <w:spacing w:before="120"/>
    </w:pPr>
    <w:r>
      <w:t>[1043</w:t>
    </w:r>
    <w:r w:rsidR="006D4351">
      <w:t>-</w:t>
    </w:r>
    <w:r w:rsidR="006D4351">
      <w:fldChar w:fldCharType="begin"/>
    </w:r>
    <w:r w:rsidR="006D4351">
      <w:instrText xml:space="preserve"> PAGE  \* MERGEFORMAT </w:instrText>
    </w:r>
    <w:r w:rsidR="006D4351">
      <w:fldChar w:fldCharType="separate"/>
    </w:r>
    <w:r w:rsidR="007D7F35">
      <w:rPr>
        <w:noProof/>
      </w:rPr>
      <w:t>1</w:t>
    </w:r>
    <w:r w:rsidR="006D4351">
      <w:fldChar w:fldCharType="end"/>
    </w:r>
    <w:r w:rsidR="006D43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351" w:rsidRPr="002622C6" w:rsidRDefault="006D4351" w:rsidP="002622C6">
    <w:pPr>
      <w:pStyle w:val="Footer"/>
      <w:tabs>
        <w:tab w:val="clear" w:pos="4680"/>
        <w:tab w:val="clear" w:pos="9360"/>
        <w:tab w:val="center" w:pos="2995"/>
      </w:tabs>
      <w:spacing w:before="120"/>
    </w:pPr>
    <w:r>
      <w:t>[1043]</w:t>
    </w:r>
    <w:r>
      <w:tab/>
    </w:r>
    <w:r>
      <w:fldChar w:fldCharType="begin"/>
    </w:r>
    <w:r>
      <w:instrText xml:space="preserve"> PAGE  \* MERGEFORMAT </w:instrText>
    </w:r>
    <w:r>
      <w:fldChar w:fldCharType="separate"/>
    </w:r>
    <w:r w:rsidR="00A859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AE2" w:rsidRDefault="009C7AE2" w:rsidP="009F0C77">
      <w:r>
        <w:separator/>
      </w:r>
    </w:p>
  </w:footnote>
  <w:footnote w:type="continuationSeparator" w:id="0">
    <w:p w:rsidR="009C7AE2" w:rsidRDefault="009C7A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52DG18"/>
    <w:docVar w:name="CoverBillType" w:val="b"/>
    <w:docVar w:name="DocPath" w:val="L:\Council\bills\BBM\9752DG18.DOCX"/>
    <w:docVar w:name="dvBillNumber" w:val="1043"/>
    <w:docVar w:name="dvBillNumberPrefix" w:val="S. "/>
    <w:docVar w:name="dvOriginalBody" w:val="Senate"/>
    <w:docVar w:name="dvSteno" w:val="BBM"/>
    <w:docVar w:name="NameofBody" w:val="s"/>
    <w:docVar w:name="vGroup2" w:val="Council"/>
  </w:docVars>
  <w:rsids>
    <w:rsidRoot w:val="009C7AE2"/>
    <w:rsid w:val="0001172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22C6"/>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E541F"/>
    <w:rsid w:val="0061228A"/>
    <w:rsid w:val="006215AA"/>
    <w:rsid w:val="006340D9"/>
    <w:rsid w:val="00643B8E"/>
    <w:rsid w:val="00653ECC"/>
    <w:rsid w:val="00665EBC"/>
    <w:rsid w:val="00680479"/>
    <w:rsid w:val="0069470D"/>
    <w:rsid w:val="006A476C"/>
    <w:rsid w:val="006C6A93"/>
    <w:rsid w:val="006D4351"/>
    <w:rsid w:val="006E02F9"/>
    <w:rsid w:val="006F3F76"/>
    <w:rsid w:val="00753C04"/>
    <w:rsid w:val="00756946"/>
    <w:rsid w:val="00757F80"/>
    <w:rsid w:val="00771EEC"/>
    <w:rsid w:val="00786819"/>
    <w:rsid w:val="007A325A"/>
    <w:rsid w:val="007A4909"/>
    <w:rsid w:val="007C3099"/>
    <w:rsid w:val="007D7F35"/>
    <w:rsid w:val="007E72BE"/>
    <w:rsid w:val="007F1523"/>
    <w:rsid w:val="007F509E"/>
    <w:rsid w:val="007F5799"/>
    <w:rsid w:val="007F6947"/>
    <w:rsid w:val="00834A12"/>
    <w:rsid w:val="00872729"/>
    <w:rsid w:val="008A030B"/>
    <w:rsid w:val="008F4429"/>
    <w:rsid w:val="00932670"/>
    <w:rsid w:val="009352BB"/>
    <w:rsid w:val="00990668"/>
    <w:rsid w:val="009B397B"/>
    <w:rsid w:val="009C7AE2"/>
    <w:rsid w:val="009F0C77"/>
    <w:rsid w:val="009F4DD1"/>
    <w:rsid w:val="00A64E80"/>
    <w:rsid w:val="00A741D9"/>
    <w:rsid w:val="00A85589"/>
    <w:rsid w:val="00A859B1"/>
    <w:rsid w:val="00A9741D"/>
    <w:rsid w:val="00AB0576"/>
    <w:rsid w:val="00AD4B17"/>
    <w:rsid w:val="00B26FA6"/>
    <w:rsid w:val="00B741CB"/>
    <w:rsid w:val="00B87AF8"/>
    <w:rsid w:val="00B934F3"/>
    <w:rsid w:val="00BB6347"/>
    <w:rsid w:val="00BD2134"/>
    <w:rsid w:val="00C022F2"/>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07B8"/>
    <w:rsid w:val="00DC6813"/>
    <w:rsid w:val="00DE2FF2"/>
    <w:rsid w:val="00DE68F0"/>
    <w:rsid w:val="00DF3845"/>
    <w:rsid w:val="00DF7E17"/>
    <w:rsid w:val="00E022DD"/>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1970E2-E4C2-401B-B83B-0497E5527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D435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A03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030B"/>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D435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D435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ED0FA-ACBB-4743-A43D-45861CB44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FB6F33A5.dotm</Template>
  <TotalTime>0</TotalTime>
  <Pages>3</Pages>
  <Words>356</Words>
  <Characters>1800</Characters>
  <Application>Microsoft Office Word</Application>
  <DocSecurity>0</DocSecurity>
  <Lines>64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1043 Text of Previous Version (May 1, 2018) - South Carolina Legislature Online</dc:title>
  <dc:subject/>
  <dc:creator>BRENDA MELTON</dc:creator>
  <cp:keywords/>
  <dc:description/>
  <cp:lastModifiedBy>Miriam Cook</cp:lastModifiedBy>
  <cp:revision>2</cp:revision>
  <cp:lastPrinted>2018-02-12T17:00:00Z</cp:lastPrinted>
  <dcterms:created xsi:type="dcterms:W3CDTF">2018-05-02T01:02:00Z</dcterms:created>
  <dcterms:modified xsi:type="dcterms:W3CDTF">2018-05-02T01:02:00Z</dcterms:modified>
</cp:coreProperties>
</file>