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B27" w:rsidRDefault="00970B2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70B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B203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3CFD" w:rsidRDefault="002D3CFD" w:rsidP="002D3C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24</w:t>
      </w:r>
      <w:r>
        <w:noBreakHyphen/>
        <w:t>21</w:t>
      </w:r>
      <w:r>
        <w:noBreakHyphen/>
        <w:t>50, CODE OF LAWS OF SOUTH CAROLINA, 1976, RELATING TO THE CONDUCT OF PAROLE, PARDON, AND CLEMENCY HEARINGS, SO AS TO PROVIDE THAT ALL TESTIMONY PRESENTED AT A PAROLE HEARING MUST BE TAKEN UNDER OATH, AND THAT A POTENTIAL PAROLEE BEING CONSIDERED FOR PAROLE OR THEIR COUNSEL HAS A RIGHT TO CONFRONT ANY WITNESS THAT APPEARS BEFORE THE BOARD DURING HIS HEARING.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B2034" w:rsidRDefault="004B20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B2034" w:rsidRDefault="004B20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3CFD" w:rsidRPr="0085150A" w:rsidRDefault="004B2034" w:rsidP="002D3C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2D3CFD" w:rsidRPr="0085150A">
        <w:rPr>
          <w:color w:val="000000" w:themeColor="text1"/>
          <w:u w:color="000000" w:themeColor="text1"/>
        </w:rPr>
        <w:t>Section 24</w:t>
      </w:r>
      <w:r w:rsidR="002D3CFD">
        <w:rPr>
          <w:color w:val="000000" w:themeColor="text1"/>
          <w:u w:color="000000" w:themeColor="text1"/>
        </w:rPr>
        <w:noBreakHyphen/>
      </w:r>
      <w:r w:rsidR="002D3CFD" w:rsidRPr="0085150A">
        <w:rPr>
          <w:color w:val="000000" w:themeColor="text1"/>
          <w:u w:color="000000" w:themeColor="text1"/>
        </w:rPr>
        <w:t>21</w:t>
      </w:r>
      <w:r w:rsidR="002D3CFD">
        <w:rPr>
          <w:color w:val="000000" w:themeColor="text1"/>
          <w:u w:color="000000" w:themeColor="text1"/>
        </w:rPr>
        <w:noBreakHyphen/>
      </w:r>
      <w:r w:rsidR="002D3CFD" w:rsidRPr="0085150A">
        <w:rPr>
          <w:color w:val="000000" w:themeColor="text1"/>
          <w:u w:color="000000" w:themeColor="text1"/>
        </w:rPr>
        <w:t>50 of the 1976 Code is amended to read:</w:t>
      </w:r>
    </w:p>
    <w:p w:rsidR="002D3CFD" w:rsidRPr="0085150A" w:rsidRDefault="002D3CFD" w:rsidP="002D3C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3CFD" w:rsidRDefault="002D3CFD" w:rsidP="002D3C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150A">
        <w:rPr>
          <w:color w:val="000000" w:themeColor="text1"/>
          <w:u w:color="000000" w:themeColor="text1"/>
        </w:rPr>
        <w:t>“Section 24</w:t>
      </w:r>
      <w:r>
        <w:rPr>
          <w:color w:val="000000" w:themeColor="text1"/>
          <w:u w:color="000000" w:themeColor="text1"/>
        </w:rPr>
        <w:noBreakHyphen/>
      </w:r>
      <w:r w:rsidRPr="0085150A">
        <w:rPr>
          <w:color w:val="000000" w:themeColor="text1"/>
          <w:u w:color="000000" w:themeColor="text1"/>
        </w:rPr>
        <w:t>21</w:t>
      </w:r>
      <w:r>
        <w:rPr>
          <w:color w:val="000000" w:themeColor="text1"/>
          <w:u w:color="000000" w:themeColor="text1"/>
        </w:rPr>
        <w:noBreakHyphen/>
      </w:r>
      <w:r w:rsidRPr="0085150A">
        <w:rPr>
          <w:color w:val="000000" w:themeColor="text1"/>
          <w:u w:color="000000" w:themeColor="text1"/>
        </w:rPr>
        <w:t>50.</w:t>
      </w:r>
      <w:r w:rsidRPr="0085150A">
        <w:rPr>
          <w:color w:val="000000" w:themeColor="text1"/>
          <w:u w:color="000000" w:themeColor="text1"/>
        </w:rPr>
        <w:tab/>
      </w:r>
      <w:r w:rsidRPr="00415BE4">
        <w:rPr>
          <w:color w:val="000000" w:themeColor="text1"/>
          <w:u w:val="single" w:color="000000" w:themeColor="text1"/>
        </w:rPr>
        <w:t>(A)</w:t>
      </w:r>
      <w:r w:rsidRPr="0085150A">
        <w:rPr>
          <w:color w:val="000000" w:themeColor="text1"/>
          <w:u w:color="000000" w:themeColor="text1"/>
        </w:rPr>
        <w:tab/>
        <w:t xml:space="preserve">The board shall grant hearings and permit arguments and appearances by counsel or any individual before it at any such hearing while considering a case for parole, pardon, or any other form of clemency provided for under law. </w:t>
      </w:r>
    </w:p>
    <w:p w:rsidR="002D3CFD" w:rsidRPr="0085150A" w:rsidRDefault="002D3CFD" w:rsidP="002D3C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C139F">
        <w:rPr>
          <w:color w:val="000000" w:themeColor="text1"/>
          <w:u w:val="single"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8D2551">
        <w:rPr>
          <w:strike/>
          <w:color w:val="000000" w:themeColor="text1"/>
          <w:u w:color="000000" w:themeColor="text1"/>
        </w:rPr>
        <w:t>No</w:t>
      </w:r>
      <w:r w:rsidRPr="008D2551">
        <w:rPr>
          <w:color w:val="000000" w:themeColor="text1"/>
          <w:u w:color="000000" w:themeColor="text1"/>
        </w:rPr>
        <w:t xml:space="preserve"> </w:t>
      </w:r>
      <w:r w:rsidRPr="008D2551">
        <w:rPr>
          <w:color w:val="000000" w:themeColor="text1"/>
          <w:u w:val="single" w:color="000000" w:themeColor="text1"/>
        </w:rPr>
        <w:t>Only a</w:t>
      </w:r>
      <w:r>
        <w:rPr>
          <w:color w:val="000000" w:themeColor="text1"/>
          <w:u w:val="single" w:color="000000" w:themeColor="text1"/>
        </w:rPr>
        <w:t xml:space="preserve"> potential parolee</w:t>
      </w:r>
      <w:r>
        <w:rPr>
          <w:color w:val="000000" w:themeColor="text1"/>
          <w:u w:color="000000" w:themeColor="text1"/>
        </w:rPr>
        <w:t xml:space="preserve"> </w:t>
      </w:r>
      <w:r w:rsidRPr="00121D30">
        <w:rPr>
          <w:strike/>
          <w:color w:val="000000" w:themeColor="text1"/>
          <w:u w:color="000000" w:themeColor="text1"/>
        </w:rPr>
        <w:t>inmate</w:t>
      </w:r>
      <w:r w:rsidRPr="008D2551">
        <w:rPr>
          <w:color w:val="000000" w:themeColor="text1"/>
          <w:u w:color="000000" w:themeColor="text1"/>
        </w:rPr>
        <w:t xml:space="preserve"> </w:t>
      </w:r>
      <w:r w:rsidRPr="008D2551">
        <w:rPr>
          <w:color w:val="000000" w:themeColor="text1"/>
          <w:u w:val="single" w:color="000000" w:themeColor="text1"/>
        </w:rPr>
        <w:t>who is being considered for parole</w:t>
      </w:r>
      <w:r w:rsidRPr="00121D30">
        <w:rPr>
          <w:color w:val="000000" w:themeColor="text1"/>
          <w:u w:val="single" w:color="000000" w:themeColor="text1"/>
        </w:rPr>
        <w:t xml:space="preserve"> or their counsel</w:t>
      </w:r>
      <w:r>
        <w:rPr>
          <w:color w:val="000000" w:themeColor="text1"/>
          <w:u w:color="000000" w:themeColor="text1"/>
        </w:rPr>
        <w:t xml:space="preserve"> </w:t>
      </w:r>
      <w:r w:rsidRPr="008D2551">
        <w:rPr>
          <w:color w:val="000000" w:themeColor="text1"/>
          <w:u w:color="000000" w:themeColor="text1"/>
        </w:rPr>
        <w:t xml:space="preserve">has a right of confrontation at </w:t>
      </w:r>
      <w:r w:rsidRPr="00121D30">
        <w:rPr>
          <w:color w:val="000000" w:themeColor="text1"/>
          <w:u w:color="000000" w:themeColor="text1"/>
        </w:rPr>
        <w:t>the</w:t>
      </w:r>
      <w:r w:rsidRPr="008D2551">
        <w:rPr>
          <w:color w:val="000000" w:themeColor="text1"/>
          <w:u w:color="000000" w:themeColor="text1"/>
        </w:rPr>
        <w:t xml:space="preserve"> hearing.</w:t>
      </w:r>
    </w:p>
    <w:p w:rsidR="004B2034" w:rsidRDefault="002D3CFD" w:rsidP="002D3C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5150A">
        <w:rPr>
          <w:color w:val="000000" w:themeColor="text1"/>
          <w:u w:color="000000" w:themeColor="text1"/>
        </w:rPr>
        <w:tab/>
      </w:r>
      <w:r w:rsidRPr="00FF39C0">
        <w:rPr>
          <w:color w:val="000000" w:themeColor="text1"/>
          <w:u w:val="single" w:color="000000" w:themeColor="text1"/>
        </w:rPr>
        <w:t>(</w:t>
      </w:r>
      <w:r>
        <w:rPr>
          <w:color w:val="000000" w:themeColor="text1"/>
          <w:u w:val="single" w:color="000000" w:themeColor="text1"/>
        </w:rPr>
        <w:t>C</w:t>
      </w:r>
      <w:r w:rsidRPr="0085150A">
        <w:rPr>
          <w:color w:val="000000" w:themeColor="text1"/>
          <w:u w:val="single" w:color="000000" w:themeColor="text1"/>
        </w:rPr>
        <w:t>)</w:t>
      </w:r>
      <w:r w:rsidRPr="00415BE4">
        <w:rPr>
          <w:color w:val="000000" w:themeColor="text1"/>
          <w:u w:color="000000" w:themeColor="text1"/>
        </w:rPr>
        <w:tab/>
      </w:r>
      <w:r w:rsidRPr="0085150A">
        <w:rPr>
          <w:color w:val="000000" w:themeColor="text1"/>
          <w:u w:val="single" w:color="000000" w:themeColor="text1"/>
        </w:rPr>
        <w:t xml:space="preserve">All testimony presented at a </w:t>
      </w:r>
      <w:r>
        <w:rPr>
          <w:color w:val="000000" w:themeColor="text1"/>
          <w:u w:val="single" w:color="000000" w:themeColor="text1"/>
        </w:rPr>
        <w:t xml:space="preserve">parole </w:t>
      </w:r>
      <w:r w:rsidRPr="0085150A">
        <w:rPr>
          <w:color w:val="000000" w:themeColor="text1"/>
          <w:u w:val="single" w:color="000000" w:themeColor="text1"/>
        </w:rPr>
        <w:t>hearing must be taken under oath.</w:t>
      </w:r>
      <w:r w:rsidRPr="008D2551">
        <w:rPr>
          <w:color w:val="000000" w:themeColor="text1"/>
          <w:u w:color="000000" w:themeColor="text1"/>
        </w:rPr>
        <w:t>”</w:t>
      </w:r>
    </w:p>
    <w:p w:rsidR="004B2034" w:rsidRDefault="004B20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2034" w:rsidRDefault="004B20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D3CFD">
        <w:t>2</w:t>
      </w:r>
      <w:r>
        <w:t>.</w:t>
      </w:r>
      <w:r>
        <w:tab/>
        <w:t>This act takes effect upon approval by the Governor.</w:t>
      </w:r>
    </w:p>
    <w:p w:rsidR="00916FB6" w:rsidRDefault="002D3CF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70B27" w:rsidRDefault="00970B27" w:rsidP="00970B27">
      <w:pPr>
        <w:suppressAutoHyphens/>
      </w:pPr>
    </w:p>
    <w:sectPr w:rsidR="00970B27" w:rsidSect="00970B2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2034" w:rsidRDefault="004B2034" w:rsidP="009F0C77">
      <w:r>
        <w:separator/>
      </w:r>
    </w:p>
  </w:endnote>
  <w:endnote w:type="continuationSeparator" w:id="0">
    <w:p w:rsidR="004B2034" w:rsidRDefault="004B203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ACABD0-1CF1-4481-8AB9-7C131B40A2FD}"/>
    <w:embedBold r:id="rId2" w:fontKey="{F1730B2F-D23E-43A0-AA94-2152D8199DA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437F6DA-79CB-4B8E-AEC2-5E350CD092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46E0CB4-AC2D-4528-BA2A-A578BD33EA2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FB6" w:rsidRPr="00970B27" w:rsidRDefault="00970B27" w:rsidP="00970B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2034" w:rsidRDefault="004B2034" w:rsidP="009F0C77">
      <w:r>
        <w:separator/>
      </w:r>
    </w:p>
  </w:footnote>
  <w:footnote w:type="continuationSeparator" w:id="0">
    <w:p w:rsidR="004B2034" w:rsidRDefault="004B203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63CM17"/>
    <w:docVar w:name="CoverBillType" w:val="b"/>
    <w:docVar w:name="docpath" w:val="L:\Council\bills\GT\5163CM17.DOCX"/>
    <w:docVar w:name="dvBillNumber" w:val="3282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4B2034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D3CFD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2034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63D21"/>
    <w:rsid w:val="008A1768"/>
    <w:rsid w:val="008F0F33"/>
    <w:rsid w:val="008F4429"/>
    <w:rsid w:val="00916FB6"/>
    <w:rsid w:val="0094021A"/>
    <w:rsid w:val="00970B27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D19FC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0E78B15-766D-4001-8CC5-41679642D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C9E754-161B-4487-9CD3-659DEF8D2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8A40F437.dotm</Template>
  <TotalTime>0</TotalTime>
  <Pages>1</Pages>
  <Words>183</Words>
  <Characters>878</Characters>
  <Application>Microsoft Office Word</Application>
  <DocSecurity>0</DocSecurity>
  <Lines>37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3282 Text of Previous Version (Dec. 15, 2016) - South Carolina Legislature Online</dc:title>
  <dc:creator>Gwen Thurmond</dc:creator>
  <cp:lastModifiedBy>Angela Hill</cp:lastModifiedBy>
  <cp:revision>2</cp:revision>
  <cp:lastPrinted>2016-11-04T14:03:00Z</cp:lastPrinted>
  <dcterms:created xsi:type="dcterms:W3CDTF">2016-12-16T06:30:00Z</dcterms:created>
  <dcterms:modified xsi:type="dcterms:W3CDTF">2016-12-16T06:30:00Z</dcterms:modified>
</cp:coreProperties>
</file>