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C5D" w:rsidRDefault="00E35C5D" w:rsidP="00D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2134B" w:rsidRDefault="00D2134B" w:rsidP="00D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34B" w:rsidRDefault="00D2134B" w:rsidP="00D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34B" w:rsidRDefault="00D2134B" w:rsidP="00D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34B" w:rsidRDefault="00D2134B" w:rsidP="00D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34B" w:rsidRDefault="00D2134B" w:rsidP="00D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34B" w:rsidRDefault="00D2134B" w:rsidP="00D2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0C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4E37E6">
        <w:rPr>
          <w:color w:val="000000" w:themeColor="text1"/>
          <w:u w:color="000000" w:themeColor="text1"/>
        </w:rPr>
        <w:t>AMEND THE CODE OF LAWS OF SOUTH CAROLINA, 1976, BY ADDING SECTION 19</w:t>
      </w:r>
      <w:r w:rsidR="009C24BC">
        <w:rPr>
          <w:color w:val="000000" w:themeColor="text1"/>
          <w:u w:color="000000" w:themeColor="text1"/>
        </w:rPr>
        <w:noBreakHyphen/>
      </w:r>
      <w:r w:rsidRPr="004E37E6">
        <w:rPr>
          <w:color w:val="000000" w:themeColor="text1"/>
          <w:u w:color="000000" w:themeColor="text1"/>
        </w:rPr>
        <w:t>11</w:t>
      </w:r>
      <w:r w:rsidR="009C24BC">
        <w:rPr>
          <w:color w:val="000000" w:themeColor="text1"/>
          <w:u w:color="000000" w:themeColor="text1"/>
        </w:rPr>
        <w:noBreakHyphen/>
      </w:r>
      <w:r w:rsidRPr="004E37E6">
        <w:rPr>
          <w:color w:val="000000" w:themeColor="text1"/>
          <w:u w:color="000000" w:themeColor="text1"/>
        </w:rPr>
        <w:t>110</w:t>
      </w:r>
      <w:r>
        <w:rPr>
          <w:color w:val="000000" w:themeColor="text1"/>
          <w:u w:color="000000" w:themeColor="text1"/>
        </w:rPr>
        <w:t xml:space="preserve"> </w:t>
      </w:r>
      <w:r w:rsidRPr="004E37E6">
        <w:rPr>
          <w:color w:val="000000" w:themeColor="text1"/>
          <w:u w:color="000000" w:themeColor="text1"/>
        </w:rPr>
        <w:t>SO AS TO PROVIDE THAT SEXUAL ASSAULT CENTER PROVIDERS AND DOMESTIC VIOLENCE CENTER PROVIDERS ARE NOT REQUIRED TO DISCLOSE CONFIDENCES ACQUIRED FROM CLIENTS DURING THE PROVISION OF SERVICES TO THE CLIENTS WITH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0C9F" w:rsidRDefault="008A0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0C9F" w:rsidRDefault="008A0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SECTION</w:t>
      </w:r>
      <w:r w:rsidRPr="004E37E6">
        <w:rPr>
          <w:color w:val="000000" w:themeColor="text1"/>
          <w:u w:color="000000" w:themeColor="text1"/>
        </w:rPr>
        <w:tab/>
        <w:t>1.</w:t>
      </w:r>
      <w:r w:rsidRPr="004E37E6">
        <w:rPr>
          <w:color w:val="000000" w:themeColor="text1"/>
          <w:u w:color="000000" w:themeColor="text1"/>
        </w:rPr>
        <w:tab/>
        <w:t>Chapter 11, Title 19 of the 1976 Code is amended by adding:</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t>“Section 19</w:t>
      </w:r>
      <w:r w:rsidR="009C24BC">
        <w:rPr>
          <w:color w:val="000000" w:themeColor="text1"/>
          <w:u w:color="000000" w:themeColor="text1"/>
        </w:rPr>
        <w:noBreakHyphen/>
      </w:r>
      <w:r w:rsidRPr="004E37E6">
        <w:rPr>
          <w:color w:val="000000" w:themeColor="text1"/>
          <w:u w:color="000000" w:themeColor="text1"/>
        </w:rPr>
        <w:t>11</w:t>
      </w:r>
      <w:r w:rsidR="009C24BC">
        <w:rPr>
          <w:color w:val="000000" w:themeColor="text1"/>
          <w:u w:color="000000" w:themeColor="text1"/>
        </w:rPr>
        <w:noBreakHyphen/>
      </w:r>
      <w:r w:rsidRPr="004E37E6">
        <w:rPr>
          <w:color w:val="000000" w:themeColor="text1"/>
          <w:u w:color="000000" w:themeColor="text1"/>
        </w:rPr>
        <w:t>110.</w:t>
      </w:r>
      <w:r w:rsidRPr="004E37E6">
        <w:rPr>
          <w:color w:val="000000" w:themeColor="text1"/>
          <w:u w:color="000000" w:themeColor="text1"/>
        </w:rPr>
        <w:tab/>
        <w:t>(A)</w:t>
      </w:r>
      <w:r w:rsidRPr="004E37E6">
        <w:rPr>
          <w:color w:val="000000" w:themeColor="text1"/>
          <w:u w:color="000000" w:themeColor="text1"/>
        </w:rPr>
        <w:tab/>
        <w:t>For purposes of this section:</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(1)</w:t>
      </w:r>
      <w:r w:rsidRPr="004E37E6">
        <w:rPr>
          <w:color w:val="000000" w:themeColor="text1"/>
          <w:u w:color="000000" w:themeColor="text1"/>
        </w:rPr>
        <w:tab/>
      </w:r>
      <w:r w:rsidR="009C24BC" w:rsidRPr="009C24BC">
        <w:rPr>
          <w:color w:val="000000" w:themeColor="text1"/>
          <w:u w:color="000000" w:themeColor="text1"/>
        </w:rPr>
        <w:t>‘</w:t>
      </w:r>
      <w:r w:rsidRPr="004E37E6">
        <w:rPr>
          <w:color w:val="000000" w:themeColor="text1"/>
          <w:u w:color="000000" w:themeColor="text1"/>
        </w:rPr>
        <w:t>Center</w:t>
      </w:r>
      <w:r w:rsidR="009C24BC" w:rsidRPr="009C24BC">
        <w:rPr>
          <w:color w:val="000000" w:themeColor="text1"/>
          <w:u w:color="000000" w:themeColor="text1"/>
        </w:rPr>
        <w:t>’</w:t>
      </w:r>
      <w:r w:rsidRPr="004E37E6">
        <w:rPr>
          <w:color w:val="000000" w:themeColor="text1"/>
          <w:u w:color="000000" w:themeColor="text1"/>
        </w:rPr>
        <w:t xml:space="preserve"> means a 501(c)(3) not</w:t>
      </w:r>
      <w:r w:rsidR="009C24BC">
        <w:rPr>
          <w:color w:val="000000" w:themeColor="text1"/>
          <w:u w:color="000000" w:themeColor="text1"/>
        </w:rPr>
        <w:noBreakHyphen/>
      </w:r>
      <w:r w:rsidRPr="004E37E6">
        <w:rPr>
          <w:color w:val="000000" w:themeColor="text1"/>
          <w:u w:color="000000" w:themeColor="text1"/>
        </w:rPr>
        <w:t>for</w:t>
      </w:r>
      <w:r w:rsidR="009C24BC">
        <w:rPr>
          <w:color w:val="000000" w:themeColor="text1"/>
          <w:u w:color="000000" w:themeColor="text1"/>
        </w:rPr>
        <w:noBreakHyphen/>
      </w:r>
      <w:r w:rsidRPr="004E37E6">
        <w:rPr>
          <w:color w:val="000000" w:themeColor="text1"/>
          <w:u w:color="000000" w:themeColor="text1"/>
        </w:rPr>
        <w:t>profit organization whose mission is at least in part to end sexual assault or domestic violence and whose core services include counseling and other services to victims of sexu</w:t>
      </w:r>
      <w:r>
        <w:rPr>
          <w:color w:val="000000" w:themeColor="text1"/>
          <w:u w:color="000000" w:themeColor="text1"/>
        </w:rPr>
        <w:t>al assault or domestic violence.</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(2)</w:t>
      </w:r>
      <w:r w:rsidRPr="004E37E6">
        <w:rPr>
          <w:color w:val="000000" w:themeColor="text1"/>
          <w:u w:color="000000" w:themeColor="text1"/>
        </w:rPr>
        <w:tab/>
      </w:r>
      <w:r w:rsidR="009C24BC" w:rsidRPr="009C24BC">
        <w:rPr>
          <w:color w:val="000000" w:themeColor="text1"/>
          <w:u w:color="000000" w:themeColor="text1"/>
        </w:rPr>
        <w:t>‘</w:t>
      </w:r>
      <w:r w:rsidRPr="004E37E6">
        <w:rPr>
          <w:color w:val="000000" w:themeColor="text1"/>
          <w:u w:color="000000" w:themeColor="text1"/>
        </w:rPr>
        <w:t>Client</w:t>
      </w:r>
      <w:r w:rsidR="009C24BC" w:rsidRPr="009C24BC">
        <w:rPr>
          <w:color w:val="000000" w:themeColor="text1"/>
          <w:u w:color="000000" w:themeColor="text1"/>
        </w:rPr>
        <w:t>’</w:t>
      </w:r>
      <w:r w:rsidRPr="004E37E6">
        <w:rPr>
          <w:color w:val="000000" w:themeColor="text1"/>
          <w:u w:color="000000" w:themeColor="text1"/>
        </w:rPr>
        <w:t xml:space="preserve"> means a person who consults a center for the purpose of obtaining, on behalf of themselves or someone else, advice, counseling, or other services concerning mental, physical, emotional, or other injuries suffered as a result of an alleged sexual assault or act of domestic violence, whether or not a civil or criminal action arises</w:t>
      </w:r>
      <w:r>
        <w:rPr>
          <w:color w:val="000000" w:themeColor="text1"/>
          <w:u w:color="000000" w:themeColor="text1"/>
        </w:rPr>
        <w:t xml:space="preserve"> as a result of the allegations.</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(3)</w:t>
      </w:r>
      <w:r w:rsidRPr="004E37E6">
        <w:rPr>
          <w:color w:val="000000" w:themeColor="text1"/>
          <w:u w:color="000000" w:themeColor="text1"/>
        </w:rPr>
        <w:tab/>
      </w:r>
      <w:r w:rsidR="009C24BC" w:rsidRPr="009C24BC">
        <w:rPr>
          <w:color w:val="000000" w:themeColor="text1"/>
          <w:u w:color="000000" w:themeColor="text1"/>
        </w:rPr>
        <w:t>‘</w:t>
      </w:r>
      <w:r w:rsidRPr="004E37E6">
        <w:rPr>
          <w:color w:val="000000" w:themeColor="text1"/>
          <w:u w:color="000000" w:themeColor="text1"/>
        </w:rPr>
        <w:t>Confidence</w:t>
      </w:r>
      <w:r w:rsidR="009C24BC" w:rsidRPr="009C24BC">
        <w:rPr>
          <w:color w:val="000000" w:themeColor="text1"/>
          <w:u w:color="000000" w:themeColor="text1"/>
        </w:rPr>
        <w:t>’</w:t>
      </w:r>
      <w:r w:rsidRPr="004E37E6">
        <w:rPr>
          <w:color w:val="000000" w:themeColor="text1"/>
          <w:u w:color="000000" w:themeColor="text1"/>
        </w:rPr>
        <w:t xml:space="preserve"> means a private communication between a client and provider, or information given to a provider in the client</w:t>
      </w:r>
      <w:r w:rsidR="009C24BC">
        <w:rPr>
          <w:color w:val="000000" w:themeColor="text1"/>
          <w:u w:color="000000" w:themeColor="text1"/>
        </w:rPr>
        <w:noBreakHyphen/>
      </w:r>
      <w:r w:rsidRPr="004E37E6">
        <w:rPr>
          <w:color w:val="000000" w:themeColor="text1"/>
          <w:u w:color="000000" w:themeColor="text1"/>
        </w:rPr>
        <w:t>provider relationship.  A communication is considered a confidence when a third person is present in the room whom is necessary for the communication</w:t>
      </w:r>
      <w:r w:rsidR="009C24BC" w:rsidRPr="009C24BC">
        <w:rPr>
          <w:color w:val="000000" w:themeColor="text1"/>
          <w:u w:color="000000" w:themeColor="text1"/>
        </w:rPr>
        <w:t>’</w:t>
      </w:r>
      <w:r>
        <w:rPr>
          <w:color w:val="000000" w:themeColor="text1"/>
          <w:u w:color="000000" w:themeColor="text1"/>
        </w:rPr>
        <w:t>s transmission.</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(4)</w:t>
      </w:r>
      <w:r w:rsidRPr="004E37E6">
        <w:rPr>
          <w:color w:val="000000" w:themeColor="text1"/>
          <w:u w:color="000000" w:themeColor="text1"/>
        </w:rPr>
        <w:tab/>
      </w:r>
      <w:r w:rsidR="009C24BC" w:rsidRPr="009C24BC">
        <w:rPr>
          <w:color w:val="000000" w:themeColor="text1"/>
          <w:u w:color="000000" w:themeColor="text1"/>
        </w:rPr>
        <w:t>‘</w:t>
      </w:r>
      <w:r w:rsidRPr="004E37E6">
        <w:rPr>
          <w:color w:val="000000" w:themeColor="text1"/>
          <w:u w:color="000000" w:themeColor="text1"/>
        </w:rPr>
        <w:t>Provider</w:t>
      </w:r>
      <w:r w:rsidR="009C24BC" w:rsidRPr="009C24BC">
        <w:rPr>
          <w:color w:val="000000" w:themeColor="text1"/>
          <w:u w:color="000000" w:themeColor="text1"/>
        </w:rPr>
        <w:t>’</w:t>
      </w:r>
      <w:r w:rsidRPr="004E37E6">
        <w:rPr>
          <w:color w:val="000000" w:themeColor="text1"/>
          <w:u w:color="000000" w:themeColor="text1"/>
        </w:rPr>
        <w:t xml:space="preserve"> means an employee, agent, or volunteer of a center who has completed the minimum training as required by the </w:t>
      </w:r>
      <w:r w:rsidRPr="004E37E6">
        <w:rPr>
          <w:color w:val="000000" w:themeColor="text1"/>
          <w:u w:color="000000" w:themeColor="text1"/>
        </w:rPr>
        <w:lastRenderedPageBreak/>
        <w:t>Department of Health and Environmental Control</w:t>
      </w:r>
      <w:r w:rsidR="009C24BC" w:rsidRPr="009C24BC">
        <w:rPr>
          <w:color w:val="000000" w:themeColor="text1"/>
          <w:u w:color="000000" w:themeColor="text1"/>
        </w:rPr>
        <w:t>’</w:t>
      </w:r>
      <w:r w:rsidRPr="004E37E6">
        <w:rPr>
          <w:color w:val="000000" w:themeColor="text1"/>
          <w:u w:color="000000" w:themeColor="text1"/>
        </w:rPr>
        <w:t>s Standards and Outcomes for Rape Crisis Centers or the Department of Social Services</w:t>
      </w:r>
      <w:r w:rsidR="009C24BC" w:rsidRPr="009C24BC">
        <w:rPr>
          <w:color w:val="000000" w:themeColor="text1"/>
          <w:u w:color="000000" w:themeColor="text1"/>
        </w:rPr>
        <w:t>’</w:t>
      </w:r>
      <w:r w:rsidRPr="004E37E6">
        <w:rPr>
          <w:color w:val="000000" w:themeColor="text1"/>
          <w:u w:color="000000" w:themeColor="text1"/>
        </w:rPr>
        <w:t xml:space="preserve"> Service and Administrative Standards for Domestic Violence Agencies.  Employees, agents, and volunteers of Child Advocacy Centers as defined in Section 63</w:t>
      </w:r>
      <w:r w:rsidR="009C24BC">
        <w:rPr>
          <w:color w:val="000000" w:themeColor="text1"/>
          <w:u w:color="000000" w:themeColor="text1"/>
        </w:rPr>
        <w:noBreakHyphen/>
      </w:r>
      <w:r w:rsidRPr="004E37E6">
        <w:rPr>
          <w:color w:val="000000" w:themeColor="text1"/>
          <w:u w:color="000000" w:themeColor="text1"/>
        </w:rPr>
        <w:t>11</w:t>
      </w:r>
      <w:r w:rsidR="009C24BC">
        <w:rPr>
          <w:color w:val="000000" w:themeColor="text1"/>
          <w:u w:color="000000" w:themeColor="text1"/>
        </w:rPr>
        <w:noBreakHyphen/>
      </w:r>
      <w:r w:rsidRPr="004E37E6">
        <w:rPr>
          <w:color w:val="000000" w:themeColor="text1"/>
          <w:u w:color="000000" w:themeColor="text1"/>
        </w:rPr>
        <w:t>310, acting in their official capacit</w:t>
      </w:r>
      <w:r>
        <w:rPr>
          <w:color w:val="000000" w:themeColor="text1"/>
          <w:u w:color="000000" w:themeColor="text1"/>
        </w:rPr>
        <w:t>y, are not considered providers.</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(5)</w:t>
      </w:r>
      <w:r w:rsidRPr="004E37E6">
        <w:rPr>
          <w:color w:val="000000" w:themeColor="text1"/>
          <w:u w:color="000000" w:themeColor="text1"/>
        </w:rPr>
        <w:tab/>
      </w:r>
      <w:r w:rsidR="009C24BC" w:rsidRPr="009C24BC">
        <w:rPr>
          <w:color w:val="000000" w:themeColor="text1"/>
          <w:u w:color="000000" w:themeColor="text1"/>
        </w:rPr>
        <w:t>‘</w:t>
      </w:r>
      <w:r w:rsidRPr="004E37E6">
        <w:rPr>
          <w:color w:val="000000" w:themeColor="text1"/>
          <w:u w:color="000000" w:themeColor="text1"/>
        </w:rPr>
        <w:t>Services</w:t>
      </w:r>
      <w:r w:rsidR="009C24BC" w:rsidRPr="009C24BC">
        <w:rPr>
          <w:color w:val="000000" w:themeColor="text1"/>
          <w:u w:color="000000" w:themeColor="text1"/>
        </w:rPr>
        <w:t>’</w:t>
      </w:r>
      <w:r w:rsidRPr="004E37E6">
        <w:rPr>
          <w:color w:val="000000" w:themeColor="text1"/>
          <w:u w:color="000000" w:themeColor="text1"/>
        </w:rPr>
        <w:t xml:space="preserve"> means, but is not limited to, crisis hotlines, hospital accompaniment, safe homes and shelters, assessment and intake, children of violence services, individual counseling, group counseling, support in medical systems, support in administrative systems, support in judicial systems, transportation, relo</w:t>
      </w:r>
      <w:r>
        <w:rPr>
          <w:color w:val="000000" w:themeColor="text1"/>
          <w:u w:color="000000" w:themeColor="text1"/>
        </w:rPr>
        <w:t>cation, and crisis intervention.</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(6)</w:t>
      </w:r>
      <w:r w:rsidRPr="004E37E6">
        <w:rPr>
          <w:color w:val="000000" w:themeColor="text1"/>
          <w:u w:color="000000" w:themeColor="text1"/>
        </w:rPr>
        <w:tab/>
      </w:r>
      <w:r w:rsidR="009C24BC" w:rsidRPr="009C24BC">
        <w:rPr>
          <w:color w:val="000000" w:themeColor="text1"/>
          <w:u w:color="000000" w:themeColor="text1"/>
        </w:rPr>
        <w:t>‘</w:t>
      </w:r>
      <w:r w:rsidRPr="004E37E6">
        <w:rPr>
          <w:color w:val="000000" w:themeColor="text1"/>
          <w:u w:color="000000" w:themeColor="text1"/>
        </w:rPr>
        <w:t>Domestic violence</w:t>
      </w:r>
      <w:r w:rsidR="009C24BC" w:rsidRPr="009C24BC">
        <w:rPr>
          <w:color w:val="000000" w:themeColor="text1"/>
          <w:u w:color="000000" w:themeColor="text1"/>
        </w:rPr>
        <w:t>’</w:t>
      </w:r>
      <w:r w:rsidRPr="004E37E6">
        <w:rPr>
          <w:color w:val="000000" w:themeColor="text1"/>
          <w:u w:color="000000" w:themeColor="text1"/>
        </w:rPr>
        <w:t xml:space="preserve"> means domestic violence as defined in Section 16</w:t>
      </w:r>
      <w:r w:rsidR="009C24BC">
        <w:rPr>
          <w:color w:val="000000" w:themeColor="text1"/>
          <w:u w:color="000000" w:themeColor="text1"/>
        </w:rPr>
        <w:noBreakHyphen/>
      </w:r>
      <w:r w:rsidRPr="004E37E6">
        <w:rPr>
          <w:color w:val="000000" w:themeColor="text1"/>
          <w:u w:color="000000" w:themeColor="text1"/>
        </w:rPr>
        <w:t>25</w:t>
      </w:r>
      <w:r w:rsidR="009C24BC">
        <w:rPr>
          <w:color w:val="000000" w:themeColor="text1"/>
          <w:u w:color="000000" w:themeColor="text1"/>
        </w:rPr>
        <w:noBreakHyphen/>
      </w:r>
      <w:r w:rsidRPr="004E37E6">
        <w:rPr>
          <w:color w:val="000000" w:themeColor="text1"/>
          <w:u w:color="000000" w:themeColor="text1"/>
        </w:rPr>
        <w:t>20(A), domestic violence in the first degree as defined in Section 16</w:t>
      </w:r>
      <w:r w:rsidR="009C24BC">
        <w:rPr>
          <w:color w:val="000000" w:themeColor="text1"/>
          <w:u w:color="000000" w:themeColor="text1"/>
        </w:rPr>
        <w:noBreakHyphen/>
      </w:r>
      <w:r w:rsidRPr="004E37E6">
        <w:rPr>
          <w:color w:val="000000" w:themeColor="text1"/>
          <w:u w:color="000000" w:themeColor="text1"/>
        </w:rPr>
        <w:t>25</w:t>
      </w:r>
      <w:r w:rsidR="009C24BC">
        <w:rPr>
          <w:color w:val="000000" w:themeColor="text1"/>
          <w:u w:color="000000" w:themeColor="text1"/>
        </w:rPr>
        <w:noBreakHyphen/>
      </w:r>
      <w:r w:rsidRPr="004E37E6">
        <w:rPr>
          <w:color w:val="000000" w:themeColor="text1"/>
          <w:u w:color="000000" w:themeColor="text1"/>
        </w:rPr>
        <w:t>20(B), domestic violence in the second degree as defined in Section 16</w:t>
      </w:r>
      <w:r w:rsidR="009C24BC">
        <w:rPr>
          <w:color w:val="000000" w:themeColor="text1"/>
          <w:u w:color="000000" w:themeColor="text1"/>
        </w:rPr>
        <w:noBreakHyphen/>
      </w:r>
      <w:r w:rsidRPr="004E37E6">
        <w:rPr>
          <w:color w:val="000000" w:themeColor="text1"/>
          <w:u w:color="000000" w:themeColor="text1"/>
        </w:rPr>
        <w:t>25</w:t>
      </w:r>
      <w:r w:rsidR="009C24BC">
        <w:rPr>
          <w:color w:val="000000" w:themeColor="text1"/>
          <w:u w:color="000000" w:themeColor="text1"/>
        </w:rPr>
        <w:noBreakHyphen/>
      </w:r>
      <w:r w:rsidRPr="004E37E6">
        <w:rPr>
          <w:color w:val="000000" w:themeColor="text1"/>
          <w:u w:color="000000" w:themeColor="text1"/>
        </w:rPr>
        <w:t>20(C), domestic violence in the third degree as defined in Section 16</w:t>
      </w:r>
      <w:r w:rsidR="009C24BC">
        <w:rPr>
          <w:color w:val="000000" w:themeColor="text1"/>
          <w:u w:color="000000" w:themeColor="text1"/>
        </w:rPr>
        <w:noBreakHyphen/>
      </w:r>
      <w:r w:rsidRPr="004E37E6">
        <w:rPr>
          <w:color w:val="000000" w:themeColor="text1"/>
          <w:u w:color="000000" w:themeColor="text1"/>
        </w:rPr>
        <w:t>25</w:t>
      </w:r>
      <w:r w:rsidR="009C24BC">
        <w:rPr>
          <w:color w:val="000000" w:themeColor="text1"/>
          <w:u w:color="000000" w:themeColor="text1"/>
        </w:rPr>
        <w:noBreakHyphen/>
      </w:r>
      <w:r w:rsidRPr="004E37E6">
        <w:rPr>
          <w:color w:val="000000" w:themeColor="text1"/>
          <w:u w:color="000000" w:themeColor="text1"/>
        </w:rPr>
        <w:t>20(D), and domestic violence of a high and aggravated nature as defined in Section 16</w:t>
      </w:r>
      <w:r w:rsidR="009C24BC">
        <w:rPr>
          <w:color w:val="000000" w:themeColor="text1"/>
          <w:u w:color="000000" w:themeColor="text1"/>
        </w:rPr>
        <w:noBreakHyphen/>
      </w:r>
      <w:r w:rsidRPr="004E37E6">
        <w:rPr>
          <w:color w:val="000000" w:themeColor="text1"/>
          <w:u w:color="000000" w:themeColor="text1"/>
        </w:rPr>
        <w:t>25</w:t>
      </w:r>
      <w:r w:rsidR="009C24BC">
        <w:rPr>
          <w:color w:val="000000" w:themeColor="text1"/>
          <w:u w:color="000000" w:themeColor="text1"/>
        </w:rPr>
        <w:noBreakHyphen/>
      </w:r>
      <w:r>
        <w:rPr>
          <w:color w:val="000000" w:themeColor="text1"/>
          <w:u w:color="000000" w:themeColor="text1"/>
        </w:rPr>
        <w:t>65.</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(7)</w:t>
      </w:r>
      <w:r w:rsidRPr="004E37E6">
        <w:rPr>
          <w:color w:val="000000" w:themeColor="text1"/>
          <w:u w:color="000000" w:themeColor="text1"/>
        </w:rPr>
        <w:tab/>
      </w:r>
      <w:r w:rsidR="009C24BC" w:rsidRPr="009C24BC">
        <w:rPr>
          <w:color w:val="000000" w:themeColor="text1"/>
          <w:u w:color="000000" w:themeColor="text1"/>
        </w:rPr>
        <w:t>‘</w:t>
      </w:r>
      <w:r w:rsidRPr="004E37E6">
        <w:rPr>
          <w:color w:val="000000" w:themeColor="text1"/>
          <w:u w:color="000000" w:themeColor="text1"/>
        </w:rPr>
        <w:t>Sexual Assault</w:t>
      </w:r>
      <w:r w:rsidR="009C24BC" w:rsidRPr="009C24BC">
        <w:rPr>
          <w:color w:val="000000" w:themeColor="text1"/>
          <w:u w:color="000000" w:themeColor="text1"/>
        </w:rPr>
        <w:t>’</w:t>
      </w:r>
      <w:r w:rsidRPr="004E37E6">
        <w:rPr>
          <w:color w:val="000000" w:themeColor="text1"/>
          <w:u w:color="000000" w:themeColor="text1"/>
        </w:rPr>
        <w:t xml:space="preserve"> means criminal sexual conduct as defined in Section 16</w:t>
      </w:r>
      <w:r w:rsidR="009C24BC">
        <w:rPr>
          <w:color w:val="000000" w:themeColor="text1"/>
          <w:u w:color="000000" w:themeColor="text1"/>
        </w:rPr>
        <w:noBreakHyphen/>
      </w:r>
      <w:r w:rsidRPr="004E37E6">
        <w:rPr>
          <w:color w:val="000000" w:themeColor="text1"/>
          <w:u w:color="000000" w:themeColor="text1"/>
        </w:rPr>
        <w:t>3</w:t>
      </w:r>
      <w:r w:rsidR="009C24BC">
        <w:rPr>
          <w:color w:val="000000" w:themeColor="text1"/>
          <w:u w:color="000000" w:themeColor="text1"/>
        </w:rPr>
        <w:noBreakHyphen/>
      </w:r>
      <w:r w:rsidRPr="004E37E6">
        <w:rPr>
          <w:color w:val="000000" w:themeColor="text1"/>
          <w:u w:color="000000" w:themeColor="text1"/>
        </w:rPr>
        <w:t>651, criminal sexual conduct in the first degree as defined in Section 16</w:t>
      </w:r>
      <w:r w:rsidR="009C24BC">
        <w:rPr>
          <w:color w:val="000000" w:themeColor="text1"/>
          <w:u w:color="000000" w:themeColor="text1"/>
        </w:rPr>
        <w:noBreakHyphen/>
      </w:r>
      <w:r w:rsidRPr="004E37E6">
        <w:rPr>
          <w:color w:val="000000" w:themeColor="text1"/>
          <w:u w:color="000000" w:themeColor="text1"/>
        </w:rPr>
        <w:t>3</w:t>
      </w:r>
      <w:r w:rsidR="009C24BC">
        <w:rPr>
          <w:color w:val="000000" w:themeColor="text1"/>
          <w:u w:color="000000" w:themeColor="text1"/>
        </w:rPr>
        <w:noBreakHyphen/>
      </w:r>
      <w:r w:rsidRPr="004E37E6">
        <w:rPr>
          <w:color w:val="000000" w:themeColor="text1"/>
          <w:u w:color="000000" w:themeColor="text1"/>
        </w:rPr>
        <w:t>652, criminal sexual conduct in the second degree as defined in Section 16</w:t>
      </w:r>
      <w:r w:rsidR="009C24BC">
        <w:rPr>
          <w:color w:val="000000" w:themeColor="text1"/>
          <w:u w:color="000000" w:themeColor="text1"/>
        </w:rPr>
        <w:noBreakHyphen/>
      </w:r>
      <w:r w:rsidRPr="004E37E6">
        <w:rPr>
          <w:color w:val="000000" w:themeColor="text1"/>
          <w:u w:color="000000" w:themeColor="text1"/>
        </w:rPr>
        <w:t>3</w:t>
      </w:r>
      <w:r w:rsidR="009C24BC">
        <w:rPr>
          <w:color w:val="000000" w:themeColor="text1"/>
          <w:u w:color="000000" w:themeColor="text1"/>
        </w:rPr>
        <w:noBreakHyphen/>
      </w:r>
      <w:r w:rsidRPr="004E37E6">
        <w:rPr>
          <w:color w:val="000000" w:themeColor="text1"/>
          <w:u w:color="000000" w:themeColor="text1"/>
        </w:rPr>
        <w:t>653, criminal sexual conduct in the third degree as defined in Section 16</w:t>
      </w:r>
      <w:r w:rsidR="009C24BC">
        <w:rPr>
          <w:color w:val="000000" w:themeColor="text1"/>
          <w:u w:color="000000" w:themeColor="text1"/>
        </w:rPr>
        <w:noBreakHyphen/>
      </w:r>
      <w:r w:rsidRPr="004E37E6">
        <w:rPr>
          <w:color w:val="000000" w:themeColor="text1"/>
          <w:u w:color="000000" w:themeColor="text1"/>
        </w:rPr>
        <w:t>3</w:t>
      </w:r>
      <w:r w:rsidR="009C24BC">
        <w:rPr>
          <w:color w:val="000000" w:themeColor="text1"/>
          <w:u w:color="000000" w:themeColor="text1"/>
        </w:rPr>
        <w:noBreakHyphen/>
      </w:r>
      <w:r w:rsidRPr="004E37E6">
        <w:rPr>
          <w:color w:val="000000" w:themeColor="text1"/>
          <w:u w:color="000000" w:themeColor="text1"/>
        </w:rPr>
        <w:t>654, criminal sexual conduct with a minor as defined in Section 16</w:t>
      </w:r>
      <w:r w:rsidR="009C24BC">
        <w:rPr>
          <w:color w:val="000000" w:themeColor="text1"/>
          <w:u w:color="000000" w:themeColor="text1"/>
        </w:rPr>
        <w:noBreakHyphen/>
      </w:r>
      <w:r w:rsidRPr="004E37E6">
        <w:rPr>
          <w:color w:val="000000" w:themeColor="text1"/>
          <w:u w:color="000000" w:themeColor="text1"/>
        </w:rPr>
        <w:t>3</w:t>
      </w:r>
      <w:r w:rsidR="009C24BC">
        <w:rPr>
          <w:color w:val="000000" w:themeColor="text1"/>
          <w:u w:color="000000" w:themeColor="text1"/>
        </w:rPr>
        <w:noBreakHyphen/>
      </w:r>
      <w:r w:rsidRPr="004E37E6">
        <w:rPr>
          <w:color w:val="000000" w:themeColor="text1"/>
          <w:u w:color="000000" w:themeColor="text1"/>
        </w:rPr>
        <w:t>655, engaging a child for sexual performance as defined in Section 16</w:t>
      </w:r>
      <w:r w:rsidR="009C24BC">
        <w:rPr>
          <w:color w:val="000000" w:themeColor="text1"/>
          <w:u w:color="000000" w:themeColor="text1"/>
        </w:rPr>
        <w:noBreakHyphen/>
      </w:r>
      <w:r w:rsidRPr="004E37E6">
        <w:rPr>
          <w:color w:val="000000" w:themeColor="text1"/>
          <w:u w:color="000000" w:themeColor="text1"/>
        </w:rPr>
        <w:t>3</w:t>
      </w:r>
      <w:r w:rsidR="009C24BC">
        <w:rPr>
          <w:color w:val="000000" w:themeColor="text1"/>
          <w:u w:color="000000" w:themeColor="text1"/>
        </w:rPr>
        <w:noBreakHyphen/>
      </w:r>
      <w:r w:rsidRPr="004E37E6">
        <w:rPr>
          <w:color w:val="000000" w:themeColor="text1"/>
          <w:u w:color="000000" w:themeColor="text1"/>
        </w:rPr>
        <w:t>810, producing, directing, or promoting sexual performance by a child as defined in Section 16</w:t>
      </w:r>
      <w:r w:rsidR="009C24BC">
        <w:rPr>
          <w:color w:val="000000" w:themeColor="text1"/>
          <w:u w:color="000000" w:themeColor="text1"/>
        </w:rPr>
        <w:noBreakHyphen/>
      </w:r>
      <w:r w:rsidRPr="004E37E6">
        <w:rPr>
          <w:color w:val="000000" w:themeColor="text1"/>
          <w:u w:color="000000" w:themeColor="text1"/>
        </w:rPr>
        <w:t>3</w:t>
      </w:r>
      <w:r w:rsidR="009C24BC">
        <w:rPr>
          <w:color w:val="000000" w:themeColor="text1"/>
          <w:u w:color="000000" w:themeColor="text1"/>
        </w:rPr>
        <w:noBreakHyphen/>
      </w:r>
      <w:r w:rsidRPr="004E37E6">
        <w:rPr>
          <w:color w:val="000000" w:themeColor="text1"/>
          <w:u w:color="000000" w:themeColor="text1"/>
        </w:rPr>
        <w:t>820, trafficking in persons as defined in Section 16</w:t>
      </w:r>
      <w:r w:rsidR="009C24BC">
        <w:rPr>
          <w:color w:val="000000" w:themeColor="text1"/>
          <w:u w:color="000000" w:themeColor="text1"/>
        </w:rPr>
        <w:noBreakHyphen/>
      </w:r>
      <w:r w:rsidRPr="004E37E6">
        <w:rPr>
          <w:color w:val="000000" w:themeColor="text1"/>
          <w:u w:color="000000" w:themeColor="text1"/>
        </w:rPr>
        <w:t>3</w:t>
      </w:r>
      <w:r w:rsidR="009C24BC">
        <w:rPr>
          <w:color w:val="000000" w:themeColor="text1"/>
          <w:u w:color="000000" w:themeColor="text1"/>
        </w:rPr>
        <w:noBreakHyphen/>
      </w:r>
      <w:r w:rsidRPr="004E37E6">
        <w:rPr>
          <w:color w:val="000000" w:themeColor="text1"/>
          <w:u w:color="000000" w:themeColor="text1"/>
        </w:rPr>
        <w:t>2010, and trafficking in persons as defined in Section 16</w:t>
      </w:r>
      <w:r w:rsidR="009C24BC">
        <w:rPr>
          <w:color w:val="000000" w:themeColor="text1"/>
          <w:u w:color="000000" w:themeColor="text1"/>
        </w:rPr>
        <w:noBreakHyphen/>
      </w:r>
      <w:r w:rsidRPr="004E37E6">
        <w:rPr>
          <w:color w:val="000000" w:themeColor="text1"/>
          <w:u w:color="000000" w:themeColor="text1"/>
        </w:rPr>
        <w:t>3</w:t>
      </w:r>
      <w:r w:rsidR="009C24BC">
        <w:rPr>
          <w:color w:val="000000" w:themeColor="text1"/>
          <w:u w:color="000000" w:themeColor="text1"/>
        </w:rPr>
        <w:noBreakHyphen/>
      </w:r>
      <w:r w:rsidRPr="004E37E6">
        <w:rPr>
          <w:color w:val="000000" w:themeColor="text1"/>
          <w:u w:color="000000" w:themeColor="text1"/>
        </w:rPr>
        <w:t>2020.</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t>(B)</w:t>
      </w:r>
      <w:r w:rsidRPr="004E37E6">
        <w:rPr>
          <w:color w:val="000000" w:themeColor="text1"/>
          <w:u w:color="000000" w:themeColor="text1"/>
        </w:rPr>
        <w:tab/>
        <w:t>Except as provided in subsection (C), a provider is not required to disclose a confidence acquired from a client during the provision of services to the client.</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t>(C)</w:t>
      </w:r>
      <w:r w:rsidRPr="004E37E6">
        <w:rPr>
          <w:color w:val="000000" w:themeColor="text1"/>
          <w:u w:color="000000" w:themeColor="text1"/>
        </w:rPr>
        <w:tab/>
        <w:t>A provider may disclose a confidence acquired from a client during the provision of services to the client, if:</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(1)</w:t>
      </w:r>
      <w:r w:rsidRPr="004E37E6">
        <w:rPr>
          <w:color w:val="000000" w:themeColor="text1"/>
          <w:u w:color="000000" w:themeColor="text1"/>
        </w:rPr>
        <w:tab/>
        <w:t>the provider has the affected client</w:t>
      </w:r>
      <w:r w:rsidR="009C24BC" w:rsidRPr="009C24BC">
        <w:rPr>
          <w:color w:val="000000" w:themeColor="text1"/>
          <w:u w:color="000000" w:themeColor="text1"/>
        </w:rPr>
        <w:t>’</w:t>
      </w:r>
      <w:r w:rsidRPr="004E37E6">
        <w:rPr>
          <w:color w:val="000000" w:themeColor="text1"/>
          <w:u w:color="000000" w:themeColor="text1"/>
        </w:rPr>
        <w:t>s written authorization, but only after disclosure to the client of what confidence will be disclosed and to whom the confidence will be disclosed;</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(2)</w:t>
      </w:r>
      <w:r w:rsidRPr="004E37E6">
        <w:rPr>
          <w:color w:val="000000" w:themeColor="text1"/>
          <w:u w:color="000000" w:themeColor="text1"/>
        </w:rPr>
        <w:tab/>
        <w:t>the client communicates a report of abuse or neglect of a child pursuant to Section 63</w:t>
      </w:r>
      <w:r w:rsidR="009C24BC">
        <w:rPr>
          <w:color w:val="000000" w:themeColor="text1"/>
          <w:u w:color="000000" w:themeColor="text1"/>
        </w:rPr>
        <w:noBreakHyphen/>
      </w:r>
      <w:r w:rsidRPr="004E37E6">
        <w:rPr>
          <w:color w:val="000000" w:themeColor="text1"/>
          <w:u w:color="000000" w:themeColor="text1"/>
        </w:rPr>
        <w:t>7</w:t>
      </w:r>
      <w:r w:rsidR="009C24BC">
        <w:rPr>
          <w:color w:val="000000" w:themeColor="text1"/>
          <w:u w:color="000000" w:themeColor="text1"/>
        </w:rPr>
        <w:noBreakHyphen/>
      </w:r>
      <w:r w:rsidRPr="004E37E6">
        <w:rPr>
          <w:color w:val="000000" w:themeColor="text1"/>
          <w:u w:color="000000" w:themeColor="text1"/>
        </w:rPr>
        <w:t>310, but only as to that portion of the communication;</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lastRenderedPageBreak/>
        <w:tab/>
      </w:r>
      <w:r w:rsidRPr="004E37E6">
        <w:rPr>
          <w:color w:val="000000" w:themeColor="text1"/>
          <w:u w:color="000000" w:themeColor="text1"/>
        </w:rPr>
        <w:tab/>
        <w:t>(3)</w:t>
      </w:r>
      <w:r w:rsidRPr="004E37E6">
        <w:rPr>
          <w:color w:val="000000" w:themeColor="text1"/>
          <w:u w:color="000000" w:themeColor="text1"/>
        </w:rPr>
        <w:tab/>
        <w:t>the client communicates a report of abuse or neglect of a vulnerable adult pursuant to Section 43</w:t>
      </w:r>
      <w:r w:rsidR="009C24BC">
        <w:rPr>
          <w:color w:val="000000" w:themeColor="text1"/>
          <w:u w:color="000000" w:themeColor="text1"/>
        </w:rPr>
        <w:noBreakHyphen/>
      </w:r>
      <w:r w:rsidRPr="004E37E6">
        <w:rPr>
          <w:color w:val="000000" w:themeColor="text1"/>
          <w:u w:color="000000" w:themeColor="text1"/>
        </w:rPr>
        <w:t>35</w:t>
      </w:r>
      <w:r w:rsidR="009C24BC">
        <w:rPr>
          <w:color w:val="000000" w:themeColor="text1"/>
          <w:u w:color="000000" w:themeColor="text1"/>
        </w:rPr>
        <w:noBreakHyphen/>
      </w:r>
      <w:r w:rsidRPr="004E37E6">
        <w:rPr>
          <w:color w:val="000000" w:themeColor="text1"/>
          <w:u w:color="000000" w:themeColor="text1"/>
        </w:rPr>
        <w:t>25, but only as to that portion of the communication;</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(4)</w:t>
      </w:r>
      <w:r w:rsidRPr="004E37E6">
        <w:rPr>
          <w:color w:val="000000" w:themeColor="text1"/>
          <w:u w:color="000000" w:themeColor="text1"/>
        </w:rPr>
        <w:tab/>
        <w:t>the disclosure is required or permitted by Section 63</w:t>
      </w:r>
      <w:r w:rsidR="009C24BC">
        <w:rPr>
          <w:color w:val="000000" w:themeColor="text1"/>
          <w:u w:color="000000" w:themeColor="text1"/>
        </w:rPr>
        <w:noBreakHyphen/>
      </w:r>
      <w:r w:rsidRPr="004E37E6">
        <w:rPr>
          <w:color w:val="000000" w:themeColor="text1"/>
          <w:u w:color="000000" w:themeColor="text1"/>
        </w:rPr>
        <w:t>11</w:t>
      </w:r>
      <w:r w:rsidR="009C24BC">
        <w:rPr>
          <w:color w:val="000000" w:themeColor="text1"/>
          <w:u w:color="000000" w:themeColor="text1"/>
        </w:rPr>
        <w:noBreakHyphen/>
      </w:r>
      <w:r w:rsidRPr="004E37E6">
        <w:rPr>
          <w:color w:val="000000" w:themeColor="text1"/>
          <w:u w:color="000000" w:themeColor="text1"/>
        </w:rPr>
        <w:t>310;</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(5)</w:t>
      </w:r>
      <w:r w:rsidRPr="004E37E6">
        <w:rPr>
          <w:color w:val="000000" w:themeColor="text1"/>
          <w:u w:color="000000" w:themeColor="text1"/>
        </w:rPr>
        <w:tab/>
        <w:t>the client</w:t>
      </w:r>
      <w:r w:rsidR="009C24BC" w:rsidRPr="009C24BC">
        <w:rPr>
          <w:color w:val="000000" w:themeColor="text1"/>
          <w:u w:color="000000" w:themeColor="text1"/>
        </w:rPr>
        <w:t>’</w:t>
      </w:r>
      <w:r w:rsidRPr="004E37E6">
        <w:rPr>
          <w:color w:val="000000" w:themeColor="text1"/>
          <w:u w:color="000000" w:themeColor="text1"/>
        </w:rPr>
        <w:t>s intent is to commit a crime and the information is necessary to prevent the crime;</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(6)</w:t>
      </w:r>
      <w:r w:rsidRPr="004E37E6">
        <w:rPr>
          <w:color w:val="000000" w:themeColor="text1"/>
          <w:u w:color="000000" w:themeColor="text1"/>
        </w:rPr>
        <w:tab/>
        <w:t>the client</w:t>
      </w:r>
      <w:r w:rsidR="009C24BC" w:rsidRPr="009C24BC">
        <w:rPr>
          <w:color w:val="000000" w:themeColor="text1"/>
          <w:u w:color="000000" w:themeColor="text1"/>
        </w:rPr>
        <w:t>’</w:t>
      </w:r>
      <w:r w:rsidRPr="004E37E6">
        <w:rPr>
          <w:color w:val="000000" w:themeColor="text1"/>
          <w:u w:color="000000" w:themeColor="text1"/>
        </w:rPr>
        <w:t>s intent is to harm himself and the information is necessary to prevent the harm;</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(7)</w:t>
      </w:r>
      <w:r w:rsidRPr="004E37E6">
        <w:rPr>
          <w:color w:val="000000" w:themeColor="text1"/>
          <w:u w:color="000000" w:themeColor="text1"/>
        </w:rPr>
        <w:tab/>
        <w:t>the disclosure is reasonably necessary to establish or collect the center</w:t>
      </w:r>
      <w:r w:rsidR="009C24BC" w:rsidRPr="009C24BC">
        <w:rPr>
          <w:color w:val="000000" w:themeColor="text1"/>
          <w:u w:color="000000" w:themeColor="text1"/>
        </w:rPr>
        <w:t>’</w:t>
      </w:r>
      <w:r w:rsidRPr="004E37E6">
        <w:rPr>
          <w:color w:val="000000" w:themeColor="text1"/>
          <w:u w:color="000000" w:themeColor="text1"/>
        </w:rPr>
        <w:t>s fee or to defend the center or the center</w:t>
      </w:r>
      <w:r w:rsidR="009C24BC" w:rsidRPr="009C24BC">
        <w:rPr>
          <w:color w:val="000000" w:themeColor="text1"/>
          <w:u w:color="000000" w:themeColor="text1"/>
        </w:rPr>
        <w:t>’</w:t>
      </w:r>
      <w:r w:rsidRPr="004E37E6">
        <w:rPr>
          <w:color w:val="000000" w:themeColor="text1"/>
          <w:u w:color="000000" w:themeColor="text1"/>
        </w:rPr>
        <w:t>s providers against an accusation of wrongful conduct;</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(8)</w:t>
      </w:r>
      <w:r w:rsidRPr="004E37E6">
        <w:rPr>
          <w:color w:val="000000" w:themeColor="text1"/>
          <w:u w:color="000000" w:themeColor="text1"/>
        </w:rPr>
        <w:tab/>
        <w:t>in the course of diagnosis, counseling, or treatment, the disclosure is necessary to promote care within the generally recognized and accepted standards, practices, and procedures of the provider</w:t>
      </w:r>
      <w:r w:rsidR="009C24BC" w:rsidRPr="009C24BC">
        <w:rPr>
          <w:color w:val="000000" w:themeColor="text1"/>
          <w:u w:color="000000" w:themeColor="text1"/>
        </w:rPr>
        <w:t>’</w:t>
      </w:r>
      <w:r w:rsidRPr="004E37E6">
        <w:rPr>
          <w:color w:val="000000" w:themeColor="text1"/>
          <w:u w:color="000000" w:themeColor="text1"/>
        </w:rPr>
        <w:t>s profession; or</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r>
      <w:r w:rsidRPr="004E37E6">
        <w:rPr>
          <w:color w:val="000000" w:themeColor="text1"/>
          <w:u w:color="000000" w:themeColor="text1"/>
        </w:rPr>
        <w:tab/>
        <w:t>(9)</w:t>
      </w:r>
      <w:r w:rsidRPr="004E37E6">
        <w:rPr>
          <w:color w:val="000000" w:themeColor="text1"/>
          <w:u w:color="000000" w:themeColor="text1"/>
        </w:rPr>
        <w:tab/>
        <w:t>the disclosure is necessary and the provider has the affected client</w:t>
      </w:r>
      <w:r w:rsidR="009C24BC" w:rsidRPr="009C24BC">
        <w:rPr>
          <w:color w:val="000000" w:themeColor="text1"/>
          <w:u w:color="000000" w:themeColor="text1"/>
        </w:rPr>
        <w:t>’</w:t>
      </w:r>
      <w:r w:rsidRPr="004E37E6">
        <w:rPr>
          <w:color w:val="000000" w:themeColor="text1"/>
          <w:u w:color="000000" w:themeColor="text1"/>
        </w:rPr>
        <w:t>s written authorization for the processing of the client</w:t>
      </w:r>
      <w:r w:rsidR="009C24BC" w:rsidRPr="009C24BC">
        <w:rPr>
          <w:color w:val="000000" w:themeColor="text1"/>
          <w:u w:color="000000" w:themeColor="text1"/>
        </w:rPr>
        <w:t>’</w:t>
      </w:r>
      <w:r w:rsidRPr="004E37E6">
        <w:rPr>
          <w:color w:val="000000" w:themeColor="text1"/>
          <w:u w:color="000000" w:themeColor="text1"/>
        </w:rPr>
        <w:t>s health insurance claims, but only after disclosure to the client of what confidence will be disclosed and to whom the confidence will be disclosed.</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t>A disclosure is limited to the information and recipients necessary to accomplish the purpose of permitting the disclosure.</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t>(D)</w:t>
      </w:r>
      <w:r w:rsidRPr="004E37E6">
        <w:rPr>
          <w:color w:val="000000" w:themeColor="text1"/>
          <w:u w:color="000000" w:themeColor="text1"/>
        </w:rPr>
        <w:tab/>
        <w:t>The privilege provided pursuant to this section may be waived by a client, a client</w:t>
      </w:r>
      <w:r w:rsidR="009C24BC" w:rsidRPr="009C24BC">
        <w:rPr>
          <w:color w:val="000000" w:themeColor="text1"/>
          <w:u w:color="000000" w:themeColor="text1"/>
        </w:rPr>
        <w:t>’</w:t>
      </w:r>
      <w:r w:rsidRPr="004E37E6">
        <w:rPr>
          <w:color w:val="000000" w:themeColor="text1"/>
          <w:u w:color="000000" w:themeColor="text1"/>
        </w:rPr>
        <w:t>s guardian or conservator</w:t>
      </w:r>
      <w:r>
        <w:rPr>
          <w:color w:val="000000" w:themeColor="text1"/>
          <w:u w:color="000000" w:themeColor="text1"/>
        </w:rPr>
        <w:t>,</w:t>
      </w:r>
      <w:r w:rsidRPr="004E37E6">
        <w:rPr>
          <w:color w:val="000000" w:themeColor="text1"/>
          <w:u w:color="000000" w:themeColor="text1"/>
        </w:rPr>
        <w:t xml:space="preserve"> or a deceased client</w:t>
      </w:r>
      <w:r w:rsidR="009C24BC" w:rsidRPr="009C24BC">
        <w:rPr>
          <w:color w:val="000000" w:themeColor="text1"/>
          <w:u w:color="000000" w:themeColor="text1"/>
        </w:rPr>
        <w:t>’</w:t>
      </w:r>
      <w:r w:rsidRPr="004E37E6">
        <w:rPr>
          <w:color w:val="000000" w:themeColor="text1"/>
          <w:u w:color="000000" w:themeColor="text1"/>
        </w:rPr>
        <w:t>s personal representative.</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t>(E)</w:t>
      </w:r>
      <w:r w:rsidRPr="004E37E6">
        <w:rPr>
          <w:color w:val="000000" w:themeColor="text1"/>
          <w:u w:color="000000" w:themeColor="text1"/>
        </w:rPr>
        <w:tab/>
        <w:t>The consent to disclose a confidence on behalf of a child who is less than eighteen years of age and not emancipated or an incapacitated victim may be made by a custodial parent or other custodian in a written authorization that contains the date the consent expires.  Consent may not be given by a victim</w:t>
      </w:r>
      <w:r w:rsidR="009C24BC" w:rsidRPr="009C24BC">
        <w:rPr>
          <w:color w:val="000000" w:themeColor="text1"/>
          <w:u w:color="000000" w:themeColor="text1"/>
        </w:rPr>
        <w:t>’</w:t>
      </w:r>
      <w:r w:rsidRPr="004E37E6">
        <w:rPr>
          <w:color w:val="000000" w:themeColor="text1"/>
          <w:u w:color="000000" w:themeColor="text1"/>
        </w:rPr>
        <w:t>s custodial parent or other custodian, if the custodial parent or custodian committed, or is alleged to have committed, an offense against the victim.</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7E6">
        <w:rPr>
          <w:color w:val="000000" w:themeColor="text1"/>
          <w:u w:color="000000" w:themeColor="text1"/>
        </w:rPr>
        <w:tab/>
        <w:t>(F)</w:t>
      </w:r>
      <w:r w:rsidRPr="004E37E6">
        <w:rPr>
          <w:color w:val="000000" w:themeColor="text1"/>
          <w:u w:color="000000" w:themeColor="text1"/>
        </w:rPr>
        <w:tab/>
        <w:t>Nothing in this section affects the provisions in Section 44</w:t>
      </w:r>
      <w:r w:rsidR="009C24BC">
        <w:rPr>
          <w:color w:val="000000" w:themeColor="text1"/>
          <w:u w:color="000000" w:themeColor="text1"/>
        </w:rPr>
        <w:noBreakHyphen/>
      </w:r>
      <w:r w:rsidRPr="004E37E6">
        <w:rPr>
          <w:color w:val="000000" w:themeColor="text1"/>
          <w:u w:color="000000" w:themeColor="text1"/>
        </w:rPr>
        <w:t>22</w:t>
      </w:r>
      <w:r w:rsidR="009C24BC">
        <w:rPr>
          <w:color w:val="000000" w:themeColor="text1"/>
          <w:u w:color="000000" w:themeColor="text1"/>
        </w:rPr>
        <w:noBreakHyphen/>
      </w:r>
      <w:r w:rsidRPr="004E37E6">
        <w:rPr>
          <w:color w:val="000000" w:themeColor="text1"/>
          <w:u w:color="000000" w:themeColor="text1"/>
        </w:rPr>
        <w:t>90.”</w:t>
      </w:r>
    </w:p>
    <w:p w:rsidR="00436E74" w:rsidRPr="004E37E6" w:rsidRDefault="00436E74" w:rsidP="0043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0C9F" w:rsidRDefault="008A0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6E74">
        <w:t>2</w:t>
      </w:r>
      <w:r>
        <w:t>.</w:t>
      </w:r>
      <w:r>
        <w:tab/>
        <w:t>This act takes effect upon approval by the Governor.</w:t>
      </w:r>
    </w:p>
    <w:p w:rsidR="004C616E" w:rsidRDefault="009C24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5C5D" w:rsidRDefault="00E35C5D" w:rsidP="00E35C5D">
      <w:pPr>
        <w:suppressAutoHyphens/>
      </w:pPr>
    </w:p>
    <w:sectPr w:rsidR="00E35C5D" w:rsidSect="00E35C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C9F" w:rsidRDefault="008A0C9F" w:rsidP="009F0C77">
      <w:r>
        <w:separator/>
      </w:r>
    </w:p>
  </w:endnote>
  <w:endnote w:type="continuationSeparator" w:id="0">
    <w:p w:rsidR="008A0C9F" w:rsidRDefault="008A0C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B930F2-870C-4AE5-BD1C-1E4F8C6F2435}"/>
    <w:embedBold r:id="rId2" w:fontKey="{61288C3E-8054-44AA-96A7-43D081BC9CC6}"/>
  </w:font>
  <w:font w:name="Calibri">
    <w:panose1 w:val="020F0502020204030204"/>
    <w:charset w:val="00"/>
    <w:family w:val="swiss"/>
    <w:pitch w:val="variable"/>
    <w:sig w:usb0="E00002FF" w:usb1="4000ACFF" w:usb2="00000001" w:usb3="00000000" w:csb0="0000019F" w:csb1="00000000"/>
    <w:embedRegular r:id="rId3" w:fontKey="{8AF6EA6B-6FDB-4647-96FC-5CD5585A1ED2}"/>
  </w:font>
  <w:font w:name="Segoe UI">
    <w:panose1 w:val="020B0502040204020203"/>
    <w:charset w:val="00"/>
    <w:family w:val="swiss"/>
    <w:pitch w:val="variable"/>
    <w:sig w:usb0="E10022FF" w:usb1="C000E47F" w:usb2="00000029" w:usb3="00000000" w:csb0="000001DF" w:csb1="00000000"/>
    <w:embedRegular r:id="rId4" w:fontKey="{1EFA7623-74E3-44CB-AC37-196AF3486F8F}"/>
  </w:font>
  <w:font w:name="Cambria">
    <w:panose1 w:val="02040503050406030204"/>
    <w:charset w:val="00"/>
    <w:family w:val="roman"/>
    <w:pitch w:val="variable"/>
    <w:sig w:usb0="E00002FF" w:usb1="400004FF" w:usb2="00000000" w:usb3="00000000" w:csb0="0000019F" w:csb1="00000000"/>
    <w:embedRegular r:id="rId5" w:fontKey="{D2BBB6E2-BFD4-40FC-BDCE-6EA026C8F2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16E" w:rsidRPr="00E35C5D" w:rsidRDefault="00E35C5D" w:rsidP="00E35C5D">
    <w:pPr>
      <w:pStyle w:val="Footer"/>
      <w:tabs>
        <w:tab w:val="clear" w:pos="4680"/>
        <w:tab w:val="clear" w:pos="9360"/>
        <w:tab w:val="center" w:pos="2995"/>
      </w:tabs>
      <w:spacing w:before="120"/>
    </w:pPr>
    <w:r>
      <w:t>[3724]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C9F" w:rsidRDefault="008A0C9F" w:rsidP="009F0C77">
      <w:r>
        <w:separator/>
      </w:r>
    </w:p>
  </w:footnote>
  <w:footnote w:type="continuationSeparator" w:id="0">
    <w:p w:rsidR="008A0C9F" w:rsidRDefault="008A0C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8AHB17"/>
    <w:docVar w:name="CoverBillType" w:val="b"/>
    <w:docVar w:name="DocPath" w:val="L:\Council\bills\BH\7108AHB17.DOCX"/>
    <w:docVar w:name="dvBillNumber" w:val="3724"/>
    <w:docVar w:name="dvBillNumberPrefix" w:val="H. "/>
    <w:docVar w:name="dvOriginalBody" w:val="House"/>
    <w:docVar w:name="dvSteno" w:val="BH"/>
    <w:docVar w:name="NameofBody" w:val="h"/>
    <w:docVar w:name="vGroup2" w:val="Council"/>
  </w:docVars>
  <w:rsids>
    <w:rsidRoot w:val="008A0C9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41EF"/>
    <w:rsid w:val="002E5912"/>
    <w:rsid w:val="00301B21"/>
    <w:rsid w:val="00325348"/>
    <w:rsid w:val="0032732C"/>
    <w:rsid w:val="00336AD0"/>
    <w:rsid w:val="0037079A"/>
    <w:rsid w:val="003C4DAB"/>
    <w:rsid w:val="003D01E8"/>
    <w:rsid w:val="003E5288"/>
    <w:rsid w:val="003F6D79"/>
    <w:rsid w:val="0041760A"/>
    <w:rsid w:val="00417C01"/>
    <w:rsid w:val="00436E74"/>
    <w:rsid w:val="004403BD"/>
    <w:rsid w:val="00461441"/>
    <w:rsid w:val="004809EE"/>
    <w:rsid w:val="004C616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0C9F"/>
    <w:rsid w:val="008A1768"/>
    <w:rsid w:val="008A489F"/>
    <w:rsid w:val="008F0F33"/>
    <w:rsid w:val="008F4429"/>
    <w:rsid w:val="0094021A"/>
    <w:rsid w:val="009B44AF"/>
    <w:rsid w:val="009C24BC"/>
    <w:rsid w:val="009C6A0B"/>
    <w:rsid w:val="009F0C77"/>
    <w:rsid w:val="009F4DD1"/>
    <w:rsid w:val="00A02543"/>
    <w:rsid w:val="00A141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134B"/>
    <w:rsid w:val="00D73A67"/>
    <w:rsid w:val="00D970A9"/>
    <w:rsid w:val="00DF3845"/>
    <w:rsid w:val="00E35C5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4F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172CE1-430C-4807-976A-B4D8BAF1C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24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4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1E439-1A51-4C4F-9E61-AC0DB321E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135F8790.dotm</Template>
  <TotalTime>0</TotalTime>
  <Pages>1</Pages>
  <Words>925</Words>
  <Characters>4996</Characters>
  <Application>Microsoft Office Word</Application>
  <DocSecurity>0</DocSecurity>
  <Lines>123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3724 Text of Previous Version (Feb. 9, 2017) - South Carolina Legislature Online</dc:title>
  <dc:creator>%USERNAME%</dc:creator>
  <cp:lastModifiedBy>S Volk</cp:lastModifiedBy>
  <cp:revision>2</cp:revision>
  <cp:lastPrinted>2017-02-08T17:40:00Z</cp:lastPrinted>
  <dcterms:created xsi:type="dcterms:W3CDTF">2017-02-09T16:29:00Z</dcterms:created>
  <dcterms:modified xsi:type="dcterms:W3CDTF">2017-02-09T16:29:00Z</dcterms:modified>
</cp:coreProperties>
</file>