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5B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right" w:pos="5933"/>
        </w:tabs>
        <w:suppressAutoHyphens/>
      </w:pPr>
      <w:r>
        <w:tab/>
      </w:r>
      <w:r>
        <w:rPr>
          <w:b/>
          <w:sz w:val="36"/>
        </w:rPr>
        <w:t>H. 3819</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Forrester, Allison, Tallon, Hamilton, Felder, Elliott, Jordan, B. Newton, Martin, McCravy, Wheeler, Erickson, West, Lowe, Ryhal, Atwater, Willis, Jefferson, W. Newton, Thigpen, Bennett, Crosby, Long, Putnam, Cogswell and Henderson</w:t>
      </w:r>
      <w:r>
        <w:noBreakHyphen/>
        <w:t>Myers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124FD0">
      <w:pPr>
        <w:tabs>
          <w:tab w:val="right" w:pos="5933"/>
        </w:tabs>
        <w:suppressAutoHyphens/>
      </w:pPr>
      <w:r>
        <w:t>S. Printed 3/15/18--S.</w:t>
      </w:r>
      <w:r w:rsidR="00124FD0">
        <w:tab/>
        <w:t>[SEC 3/16/18 2:49 PM]</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w:t>
      </w:r>
      <w:r w:rsidR="00505E98">
        <w:t>the first time February 27, 2018</w:t>
      </w:r>
      <w:r>
        <w:t>.</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3819) </w:t>
      </w:r>
      <w:r w:rsidRPr="00113AFA">
        <w:rPr>
          <w:color w:val="000000" w:themeColor="text1"/>
          <w:u w:color="000000" w:themeColor="text1"/>
        </w:rPr>
        <w:t>to amend the Code of Laws of South Carolina, 1976, by adding Section 44</w:t>
      </w:r>
      <w:r w:rsidRPr="00113AFA">
        <w:rPr>
          <w:color w:val="000000" w:themeColor="text1"/>
          <w:u w:color="000000" w:themeColor="text1"/>
        </w:rPr>
        <w:noBreakHyphen/>
        <w:t>53</w:t>
      </w:r>
      <w:r w:rsidRPr="00113AFA">
        <w:rPr>
          <w:color w:val="000000" w:themeColor="text1"/>
          <w:u w:color="000000" w:themeColor="text1"/>
        </w:rPr>
        <w:noBreakHyphen/>
        <w:t>363 so as to establish requirements related to prescribing opioid analgesics to minors.</w:t>
      </w:r>
      <w:r>
        <w:t>, etc., respectfully</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2CF">
        <w:rPr>
          <w:snapToGrid w:val="0"/>
        </w:rPr>
        <w:tab/>
        <w:t>Amend the bill, as and if amended, SECTION 1, by striking Section 44-53-363(C) and (D) and inserting:</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D02CF">
        <w:rPr>
          <w:snapToGrid w:val="0"/>
        </w:rPr>
        <w:t>/</w:t>
      </w:r>
      <w:r w:rsidRPr="001D02CF">
        <w:rPr>
          <w:snapToGrid w:val="0"/>
        </w:rPr>
        <w:tab/>
      </w:r>
      <w:r w:rsidRPr="001D02CF">
        <w:rPr>
          <w:snapToGrid w:val="0"/>
        </w:rPr>
        <w:tab/>
      </w:r>
      <w:r w:rsidRPr="001D02CF">
        <w:rPr>
          <w:u w:color="000000" w:themeColor="text1"/>
        </w:rPr>
        <w:t>(C)(1)</w:t>
      </w:r>
      <w:r w:rsidRPr="001D02CF">
        <w:rPr>
          <w:u w:color="000000" w:themeColor="text1"/>
        </w:rPr>
        <w:tab/>
        <w:t>The requirements set forth in subsection (A) do not apply if the minor’s treatment with an opioid analgesic:</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r>
      <w:r w:rsidRPr="001D02CF">
        <w:rPr>
          <w:u w:color="000000" w:themeColor="text1"/>
        </w:rPr>
        <w:tab/>
      </w:r>
      <w:r w:rsidRPr="001D02CF">
        <w:rPr>
          <w:u w:color="000000" w:themeColor="text1"/>
        </w:rPr>
        <w:tab/>
        <w:t>(a)</w:t>
      </w:r>
      <w:r w:rsidRPr="001D02CF">
        <w:rPr>
          <w:u w:color="000000" w:themeColor="text1"/>
        </w:rPr>
        <w:tab/>
        <w:t>is associated with or incident to a medical emergency;</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r>
      <w:r w:rsidRPr="001D02CF">
        <w:rPr>
          <w:u w:color="000000" w:themeColor="text1"/>
        </w:rPr>
        <w:tab/>
      </w:r>
      <w:r w:rsidRPr="001D02CF">
        <w:rPr>
          <w:u w:color="000000" w:themeColor="text1"/>
        </w:rPr>
        <w:tab/>
        <w:t>(b)</w:t>
      </w:r>
      <w:r w:rsidRPr="001D02CF">
        <w:rPr>
          <w:u w:color="000000" w:themeColor="text1"/>
        </w:rPr>
        <w:tab/>
        <w:t xml:space="preserve">is associated with or incident to surgery, regardless of whether the surgery is performed on an inpatient or outpatient basis; </w:t>
      </w:r>
    </w:p>
    <w:p w:rsidR="00113AFA" w:rsidRPr="001D02CF" w:rsidRDefault="00505E98"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113AFA" w:rsidRPr="001D02CF">
        <w:t xml:space="preserve">in the prescriber’s professional judgment, fulfilling the requirements of subsection (A) would be a detriment to the minor’s health or safety; </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(d)</w:t>
      </w:r>
      <w:r w:rsidRPr="001D02CF">
        <w:tab/>
        <w:t>except as provided in subsection (D), the treatment is rendered in a hospital, emergency facility, ambulatory surgical facility, nursing home, pediatric respite care program, residential care facility, freestanding rehabilitation facility, or similar institutional facility; or</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(e)</w:t>
      </w:r>
      <w:r w:rsidRPr="001D02CF">
        <w:tab/>
        <w:t>is ordered by a practitioner issuing a prescription for a Schedule II controlled substance to treat a hospice</w:t>
      </w:r>
      <w:r w:rsidRPr="001D02CF">
        <w:noBreakHyphen/>
        <w:t>certified patient.</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lastRenderedPageBreak/>
        <w:tab/>
      </w:r>
      <w:r w:rsidRPr="001D02CF">
        <w:rPr>
          <w:u w:color="000000" w:themeColor="text1"/>
        </w:rPr>
        <w:tab/>
        <w:t>(2)</w:t>
      </w:r>
      <w:r w:rsidRPr="001D02CF">
        <w:rPr>
          <w:u w:color="000000" w:themeColor="text1"/>
        </w:rPr>
        <w:tab/>
        <w:t>The requirements of subsection (A) do not apply to a prescription for an opioid analgesic that a prescriber issues to a minor at the time of discharge from a facility or other location described in subsection (C)(1)(d).</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t>(D)</w:t>
      </w:r>
      <w:r w:rsidRPr="001D02CF">
        <w:rPr>
          <w:u w:color="000000" w:themeColor="text1"/>
        </w:rPr>
        <w:tab/>
        <w:t>The exemption provided pursuant to subsection (C)(1)(d) does not apply to treatment rendered in a prescriber’s office that is located on the premises of or adjacent to a facility or other location described in that subsection.</w:t>
      </w:r>
      <w:r w:rsidRPr="001D02CF">
        <w:rPr>
          <w:u w:color="000000" w:themeColor="text1"/>
        </w:rPr>
        <w:tab/>
        <w:t>/</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0" w:name="temp"/>
      <w:bookmarkEnd w:id="0"/>
      <w:r w:rsidRPr="001D02CF">
        <w:rPr>
          <w:snapToGrid w:val="0"/>
        </w:rPr>
        <w:tab/>
        <w:t>Renumber sections to conform.</w:t>
      </w:r>
    </w:p>
    <w:p w:rsid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02CF">
        <w:rPr>
          <w:snapToGrid w:val="0"/>
        </w:rPr>
        <w:tab/>
        <w:t>Amend title to conform.</w:t>
      </w:r>
    </w:p>
    <w:p w:rsidR="00113AFA" w:rsidRPr="001D02CF"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5BA"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bookmarkEnd w:id="2"/>
    </w:p>
    <w:p w:rsidR="00BB15BA" w:rsidRDefault="00BB1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00127ACF" w:rsidRPr="00DA5A74">
        <w:rPr>
          <w:color w:val="000000" w:themeColor="text1"/>
          <w:u w:color="000000" w:themeColor="text1"/>
        </w:rPr>
        <w:t>.</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t>(C)(1)</w:t>
      </w:r>
      <w:r w:rsidRPr="00593D41">
        <w:rPr>
          <w:u w:color="000000" w:themeColor="text1"/>
        </w:rPr>
        <w:tab/>
        <w:t>The requirements set forth in subsection (A) do not apply if the minor’s treatment with an opioid analgesic:</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(a)</w:t>
      </w:r>
      <w:r w:rsidRPr="00593D41">
        <w:rPr>
          <w:u w:color="000000" w:themeColor="text1"/>
        </w:rPr>
        <w:tab/>
        <w:t>is associated with or incident to a medical emergency;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r>
      <w:r w:rsidRPr="00593D41">
        <w:rPr>
          <w:u w:color="000000" w:themeColor="text1"/>
        </w:rPr>
        <w:tab/>
        <w:t>(b)</w:t>
      </w:r>
      <w:r w:rsidRPr="00593D41">
        <w:rPr>
          <w:u w:color="000000" w:themeColor="text1"/>
        </w:rPr>
        <w:tab/>
        <w:t xml:space="preserve">is associated with or incident to surgery, regardless of whether the surgery is performed on an inpatient or outpatient basis; </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(c)</w:t>
      </w:r>
      <w:r w:rsidRPr="00593D41">
        <w:tab/>
        <w:t>is associated with pain management treatment for cancer or hematological disorders including, but not limited to, sickle cell disease;</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(d)</w:t>
      </w:r>
      <w:r w:rsidRPr="00593D41">
        <w:tab/>
        <w:t>is associated with the treatment of neonatal abstinence syndrome;</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(e)</w:t>
      </w:r>
      <w:r w:rsidRPr="00593D41">
        <w:tab/>
        <w:t>is limited to liquid antitussive medication;</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(f)</w:t>
      </w:r>
      <w:r w:rsidRPr="00593D41">
        <w:tab/>
      </w:r>
      <w:r w:rsidRPr="00593D41">
        <w:tab/>
        <w:t>in the prescriber’s professional judgment, fulfilling the requirements of subsection (A) would be a detriment to the minor’s health or safety;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(g)</w:t>
      </w:r>
      <w:r w:rsidRPr="00593D41">
        <w:tab/>
        <w:t xml:space="preserve">except as provided in subsection (D), the treatment is rendered in a hospital, emergency facility, ambulatory surgical facility, nursing home, pediatric respite care program, residential </w:t>
      </w:r>
      <w:r w:rsidRPr="00593D41">
        <w:lastRenderedPageBreak/>
        <w:t>care facility, freestanding rehabilitation facility, or similar institutional facility;</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(h)</w:t>
      </w:r>
      <w:r w:rsidRPr="00593D41">
        <w:tab/>
        <w:t>is ordered by a practitioner issuing a prescription for a Schedule II controlled substance to treat a hospice</w:t>
      </w:r>
      <w:r w:rsidRPr="00593D41">
        <w:noBreakHyphen/>
        <w:t>certified patient;</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(i) </w:t>
      </w:r>
      <w:r w:rsidRPr="00593D41">
        <w:tab/>
        <w:t>is ordered by a practitioner issuing a prescription for a Schedule II controlled substance that does not exceed a five</w:t>
      </w:r>
      <w:r w:rsidRPr="00593D41">
        <w:noBreakHyphen/>
        <w:t>day supply for a patient; or</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3D41">
        <w:tab/>
      </w:r>
      <w:r w:rsidRPr="00593D41">
        <w:tab/>
      </w:r>
      <w:r w:rsidRPr="00593D41">
        <w:tab/>
        <w:t xml:space="preserve">(j) </w:t>
      </w:r>
      <w:r w:rsidRPr="00593D41">
        <w:tab/>
        <w:t>is ordered by a 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drug monitoring program at least every three months.</w:t>
      </w:r>
    </w:p>
    <w:p w:rsidR="00BB15BA" w:rsidRPr="00593D41"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Pr="00593D41">
        <w:rPr>
          <w:u w:color="000000" w:themeColor="text1"/>
        </w:rPr>
        <w:tab/>
        <w:t>(2)</w:t>
      </w:r>
      <w:r w:rsidRPr="00593D41">
        <w:rPr>
          <w:u w:color="000000" w:themeColor="text1"/>
        </w:rPr>
        <w:tab/>
        <w:t>The requirements of subsection (A) do not apply to a prescription for an opioid analgesic that a prescriber issues to a minor at the time of discharge from a facility or other location described in subsection (C)(1)(g).</w:t>
      </w:r>
    </w:p>
    <w:p w:rsidR="00127ACF" w:rsidRPr="00DA5A74" w:rsidRDefault="00BB15BA" w:rsidP="00BB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3D41">
        <w:rPr>
          <w:u w:color="000000" w:themeColor="text1"/>
        </w:rPr>
        <w:tab/>
        <w:t>(D)</w:t>
      </w:r>
      <w:r w:rsidRPr="00593D41">
        <w:rPr>
          <w:u w:color="000000" w:themeColor="text1"/>
        </w:rPr>
        <w:tab/>
        <w:t>The exemption provided pursuant to subsection (C)(1)(g) does not apply to treatment rendered in a prescriber’s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 xml:space="preserve">sustaining, or otherwise has become independent </w:t>
      </w:r>
      <w:r w:rsidR="00127ACF" w:rsidRPr="00DA5A74">
        <w:rPr>
          <w:color w:val="000000" w:themeColor="text1"/>
          <w:u w:color="000000" w:themeColor="text1"/>
        </w:rPr>
        <w:lastRenderedPageBreak/>
        <w:t>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A66" w:rsidRDefault="006B0A66" w:rsidP="006B0A66">
      <w:pPr>
        <w:suppressAutoHyphens/>
      </w:pPr>
    </w:p>
    <w:sectPr w:rsidR="006B0A66"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7BF993-DF5B-48A9-8FAA-B395B8970E45}"/>
    <w:embedBold r:id="rId2" w:fontKey="{37B45151-AB82-439B-BD25-20C4F185C797}"/>
  </w:font>
  <w:font w:name="Calibri">
    <w:panose1 w:val="020F0502020204030204"/>
    <w:charset w:val="00"/>
    <w:family w:val="swiss"/>
    <w:pitch w:val="variable"/>
    <w:sig w:usb0="E00002FF" w:usb1="4000ACFF" w:usb2="00000001" w:usb3="00000000" w:csb0="0000019F" w:csb1="00000000"/>
    <w:embedRegular r:id="rId3" w:fontKey="{8F7B6217-E70D-4A06-9D97-9C6AA6D8333F}"/>
  </w:font>
  <w:font w:name="Segoe UI">
    <w:panose1 w:val="020B0502040204020203"/>
    <w:charset w:val="00"/>
    <w:family w:val="swiss"/>
    <w:pitch w:val="variable"/>
    <w:sig w:usb0="E10022FF" w:usb1="C000E47F" w:usb2="00000029" w:usb3="00000000" w:csb0="000001DF" w:csb1="00000000"/>
    <w:embedRegular r:id="rId4" w:fontKey="{F6774957-287C-4ACB-95DF-0AED8DC808DA}"/>
  </w:font>
  <w:font w:name="Cambria">
    <w:panose1 w:val="02040503050406030204"/>
    <w:charset w:val="00"/>
    <w:family w:val="roman"/>
    <w:pitch w:val="variable"/>
    <w:sig w:usb0="E00002FF" w:usb1="400004FF" w:usb2="00000000" w:usb3="00000000" w:csb0="0000019F" w:csb1="00000000"/>
    <w:embedRegular r:id="rId5" w:fontKey="{97BB5DCB-32F1-4ADE-B762-12512905A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6B0A66">
      <w:rPr>
        <w:noProof/>
      </w:rPr>
      <w:t>2</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6B0A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74D3E"/>
    <w:rsid w:val="000E1785"/>
    <w:rsid w:val="000F40FA"/>
    <w:rsid w:val="0010776B"/>
    <w:rsid w:val="00113AFA"/>
    <w:rsid w:val="00124FD0"/>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05E98"/>
    <w:rsid w:val="005273C6"/>
    <w:rsid w:val="00530A69"/>
    <w:rsid w:val="00545593"/>
    <w:rsid w:val="00577C6C"/>
    <w:rsid w:val="00593FBA"/>
    <w:rsid w:val="005C2FE2"/>
    <w:rsid w:val="005E2BC9"/>
    <w:rsid w:val="00605102"/>
    <w:rsid w:val="00620E2E"/>
    <w:rsid w:val="006215AA"/>
    <w:rsid w:val="006913C9"/>
    <w:rsid w:val="0069470D"/>
    <w:rsid w:val="006B0A66"/>
    <w:rsid w:val="006B1393"/>
    <w:rsid w:val="006C1FDE"/>
    <w:rsid w:val="006C5CDC"/>
    <w:rsid w:val="006E779F"/>
    <w:rsid w:val="007107F7"/>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335C"/>
    <w:rsid w:val="009F4DD1"/>
    <w:rsid w:val="00A31071"/>
    <w:rsid w:val="00A41684"/>
    <w:rsid w:val="00A64E80"/>
    <w:rsid w:val="00A72BCD"/>
    <w:rsid w:val="00A738CA"/>
    <w:rsid w:val="00A741D9"/>
    <w:rsid w:val="00A833AB"/>
    <w:rsid w:val="00A9741D"/>
    <w:rsid w:val="00AD4B17"/>
    <w:rsid w:val="00B26F48"/>
    <w:rsid w:val="00B412D4"/>
    <w:rsid w:val="00BB15BA"/>
    <w:rsid w:val="00BE3C22"/>
    <w:rsid w:val="00C0345E"/>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A0AA2-AFFF-483E-94C9-6C6F176FF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B32AD29D.dotm</Template>
  <TotalTime>0</TotalTime>
  <Pages>6</Pages>
  <Words>1340</Words>
  <Characters>7303</Characters>
  <Application>Microsoft Office Word</Application>
  <DocSecurity>0</DocSecurity>
  <Lines>189</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(Mar. 16, 2018) - South Carolina Legislature Online</dc:title>
  <dc:creator>%USERNAME%</dc:creator>
  <cp:lastModifiedBy>Derrick Williamson</cp:lastModifiedBy>
  <cp:revision>2</cp:revision>
  <cp:lastPrinted>2017-01-05T16:48:00Z</cp:lastPrinted>
  <dcterms:created xsi:type="dcterms:W3CDTF">2018-03-16T18:49:00Z</dcterms:created>
  <dcterms:modified xsi:type="dcterms:W3CDTF">2018-03-16T18:49:00Z</dcterms:modified>
</cp:coreProperties>
</file>