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380"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173E96">
      <w:pPr>
        <w:tabs>
          <w:tab w:val="right" w:pos="5933"/>
        </w:tabs>
        <w:suppressAutoHyphens/>
      </w:pPr>
      <w:r>
        <w:t>S. Printed 4/25/17--S.</w:t>
      </w:r>
      <w:r w:rsidR="00173E96">
        <w:tab/>
        <w:t>[SEC 4/26/17 2:44 PM]</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3824) </w:t>
      </w:r>
      <w:r w:rsidRPr="00063789">
        <w:rPr>
          <w:color w:val="000000" w:themeColor="text1"/>
          <w:u w:color="000000" w:themeColor="text1"/>
        </w:rPr>
        <w:t>to amend the Code of Laws of South Carolina, 1976, by adding Section 44</w:t>
      </w:r>
      <w:r w:rsidRPr="00063789">
        <w:rPr>
          <w:color w:val="000000" w:themeColor="text1"/>
          <w:u w:color="000000" w:themeColor="text1"/>
        </w:rPr>
        <w:noBreakHyphen/>
        <w:t>53</w:t>
      </w:r>
      <w:r w:rsidRPr="00063789">
        <w:rPr>
          <w:color w:val="000000" w:themeColor="text1"/>
          <w:u w:color="000000" w:themeColor="text1"/>
        </w:rPr>
        <w:noBreakHyphen/>
        <w:t>1645 so as to require  health care practitioners to review</w:t>
      </w:r>
      <w:r>
        <w:t>, etc., respectfully</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2E">
        <w:rPr>
          <w:snapToGrid w:val="0"/>
        </w:rPr>
        <w:tab/>
        <w:t>Amend the bill, as and if amended, page 2 by striking lines 34-39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4F542E">
        <w:rPr>
          <w:snapToGrid w:val="0"/>
        </w:rPr>
        <w:t>/</w:t>
      </w:r>
      <w:r w:rsidRPr="004F542E">
        <w:rPr>
          <w:snapToGrid w:val="0"/>
        </w:rPr>
        <w:tab/>
      </w:r>
      <w:r w:rsidRPr="004F542E">
        <w:rPr>
          <w:snapToGrid w:val="0"/>
        </w:rPr>
        <w:tab/>
      </w:r>
      <w:r w:rsidRPr="004F542E">
        <w:rPr>
          <w:u w:color="000000" w:themeColor="text1"/>
        </w:rPr>
        <w:t>(4)</w:t>
      </w:r>
      <w:r w:rsidRPr="004F542E">
        <w:rPr>
          <w:u w:color="000000" w:themeColor="text1"/>
        </w:rPr>
        <w:tab/>
        <w:t>a practitioner approving the administration of a Schedule II controlled substance by a healthcare provider licensed in South Carolina;</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F542E">
        <w:rPr>
          <w:u w:color="000000" w:themeColor="text1"/>
        </w:rPr>
        <w:tab/>
      </w:r>
      <w:r w:rsidRPr="004F542E">
        <w:rPr>
          <w:u w:color="000000" w:themeColor="text1"/>
        </w:rPr>
        <w:tab/>
        <w:t>(5)</w:t>
      </w:r>
      <w:r w:rsidRPr="004F542E">
        <w:rPr>
          <w:u w:color="000000" w:themeColor="text1"/>
        </w:rPr>
        <w:tab/>
        <w:t>a practitioner prescribing a Schedule II controlled substance for a patient in a skilled nursing facility, nursing home, community residential care facility, or an assisted living facility and the patient’s medications are stored, given</w:t>
      </w:r>
      <w:r w:rsidR="00173E96">
        <w:rPr>
          <w:u w:color="000000" w:themeColor="text1"/>
        </w:rPr>
        <w:t>,</w:t>
      </w:r>
      <w:r w:rsidRPr="004F542E">
        <w:rPr>
          <w:u w:color="000000" w:themeColor="text1"/>
        </w:rPr>
        <w:t xml:space="preserve"> and monitored by staff; or</w:t>
      </w:r>
      <w:r>
        <w:rPr>
          <w:u w:color="000000" w:themeColor="text1"/>
        </w:rPr>
        <w:tab/>
      </w:r>
      <w:r>
        <w:rPr>
          <w:u w:color="000000" w:themeColor="text1"/>
        </w:rPr>
        <w:tab/>
      </w:r>
      <w:r w:rsidRPr="004F542E">
        <w:rPr>
          <w:u w:color="000000" w:themeColor="text1"/>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3, by striking lines 15-38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u w:color="000000" w:themeColor="text1"/>
        </w:rPr>
        <w:tab/>
      </w:r>
      <w:r w:rsidRPr="004F542E">
        <w:rPr>
          <w:u w:color="000000" w:themeColor="text1"/>
        </w:rPr>
        <w:t>/</w:t>
      </w:r>
      <w:r w:rsidRPr="004F542E">
        <w:rPr>
          <w:u w:color="000000" w:themeColor="text1"/>
        </w:rPr>
        <w:tab/>
      </w:r>
      <w:r w:rsidRPr="004F542E">
        <w:rPr>
          <w:u w:color="000000" w:themeColor="text1"/>
        </w:rPr>
        <w:tab/>
      </w:r>
      <w:r w:rsidRPr="004F542E">
        <w:t>“Section 44</w:t>
      </w:r>
      <w:r w:rsidRPr="004F542E">
        <w:noBreakHyphen/>
        <w:t>53</w:t>
      </w:r>
      <w:r w:rsidRPr="004F542E">
        <w:noBreakHyphen/>
        <w:t>1630.</w:t>
      </w:r>
      <w:r w:rsidRPr="004F542E">
        <w:tab/>
      </w:r>
      <w:r w:rsidRPr="004F542E">
        <w:rPr>
          <w:szCs w:val="24"/>
        </w:rPr>
        <w:tab/>
        <w:t xml:space="preserve">As used in this </w:t>
      </w:r>
      <w:r w:rsidRPr="004F542E">
        <w:rPr>
          <w:strike/>
          <w:szCs w:val="24"/>
        </w:rPr>
        <w:t>section</w:t>
      </w:r>
      <w:r w:rsidRPr="004F542E">
        <w:rPr>
          <w:szCs w:val="24"/>
        </w:rPr>
        <w:t xml:space="preserve"> </w:t>
      </w:r>
      <w:r w:rsidRPr="004F542E">
        <w:rPr>
          <w:szCs w:val="24"/>
          <w:u w:val="single"/>
        </w:rPr>
        <w:t>article</w:t>
      </w:r>
      <w:r w:rsidRPr="004F542E">
        <w:rPr>
          <w:szCs w:val="24"/>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t>(1)</w:t>
      </w:r>
      <w:r w:rsidRPr="004F542E">
        <w:rPr>
          <w:szCs w:val="24"/>
        </w:rPr>
        <w:tab/>
        <w:t>‘Authorized delegate’ means an individual who is approved as having access to the prescription monitoring program and who is directly supervised by an authorized practitioner or pharmacist.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lastRenderedPageBreak/>
        <w:tab/>
      </w:r>
      <w:r w:rsidRPr="004F542E">
        <w:rPr>
          <w:szCs w:val="24"/>
          <w:u w:val="single"/>
        </w:rPr>
        <w:t>(2)</w:t>
      </w:r>
      <w:r w:rsidRPr="004F542E">
        <w:rPr>
          <w:szCs w:val="24"/>
        </w:rPr>
        <w:tab/>
        <w:t>‘Controlled substances’ means those substances listed in Schedules II, III, and IV of the schedules provided for in Sections 44</w:t>
      </w:r>
      <w:r w:rsidRPr="004F542E">
        <w:rPr>
          <w:szCs w:val="24"/>
        </w:rPr>
        <w:noBreakHyphen/>
        <w:t>53</w:t>
      </w:r>
      <w:r w:rsidRPr="004F542E">
        <w:rPr>
          <w:szCs w:val="24"/>
        </w:rPr>
        <w:noBreakHyphen/>
        <w:t>210, 44</w:t>
      </w:r>
      <w:r w:rsidRPr="004F542E">
        <w:rPr>
          <w:szCs w:val="24"/>
        </w:rPr>
        <w:noBreakHyphen/>
        <w:t>53</w:t>
      </w:r>
      <w:r w:rsidRPr="004F542E">
        <w:rPr>
          <w:szCs w:val="24"/>
        </w:rPr>
        <w:noBreakHyphen/>
        <w:t>230, 44</w:t>
      </w:r>
      <w:r w:rsidRPr="004F542E">
        <w:rPr>
          <w:szCs w:val="24"/>
        </w:rPr>
        <w:noBreakHyphen/>
        <w:t>53</w:t>
      </w:r>
      <w:r w:rsidRPr="004F542E">
        <w:rPr>
          <w:szCs w:val="24"/>
        </w:rPr>
        <w:noBreakHyphen/>
        <w:t>250, and 44</w:t>
      </w:r>
      <w:r w:rsidRPr="004F542E">
        <w:rPr>
          <w:szCs w:val="24"/>
        </w:rPr>
        <w:noBreakHyphen/>
        <w:t>53</w:t>
      </w:r>
      <w:r w:rsidRPr="004F542E">
        <w:rPr>
          <w:szCs w:val="24"/>
        </w:rPr>
        <w:noBreakHyphen/>
        <w:t>270.</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trike/>
          <w:szCs w:val="24"/>
        </w:rPr>
        <w:t>(2)</w:t>
      </w:r>
      <w:r w:rsidRPr="004F542E">
        <w:rPr>
          <w:szCs w:val="24"/>
          <w:u w:val="single"/>
        </w:rPr>
        <w:t>(3)</w:t>
      </w:r>
      <w:r w:rsidRPr="004F542E">
        <w:rPr>
          <w:szCs w:val="24"/>
        </w:rPr>
        <w:tab/>
        <w:t>‘Dispenser’ means a person who delivers a Schedule II</w:t>
      </w:r>
      <w:r w:rsidRPr="004F542E">
        <w:rPr>
          <w:szCs w:val="24"/>
        </w:rPr>
        <w:noBreakHyphen/>
        <w:t>IV controlled substance to the ultimate user, but does not include:</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zCs w:val="24"/>
        </w:rPr>
        <w:tab/>
        <w:t>(a)</w:t>
      </w:r>
      <w:r w:rsidRPr="004F542E">
        <w:rPr>
          <w:szCs w:val="24"/>
        </w:rPr>
        <w:tab/>
        <w:t>a licensed hospital pharmacy that distributes controlled substances for the purpose of inpatient hospital care or dispenses prescriptions for controlled substances at the time of discharge from the hospital;</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zCs w:val="24"/>
        </w:rPr>
        <w:tab/>
        <w:t>(b)</w:t>
      </w:r>
      <w:r w:rsidRPr="004F542E">
        <w:rPr>
          <w:szCs w:val="24"/>
        </w:rPr>
        <w:tab/>
        <w:t>a practitioner or other authorized person who administers these controlled substances; or</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zCs w:val="24"/>
        </w:rPr>
        <w:tab/>
        <w:t>(c)</w:t>
      </w:r>
      <w:r w:rsidRPr="004F542E">
        <w:rPr>
          <w:szCs w:val="24"/>
        </w:rPr>
        <w:tab/>
        <w:t>a wholesale distributor of a Schedule II</w:t>
      </w:r>
      <w:r w:rsidRPr="004F542E">
        <w:rPr>
          <w:szCs w:val="24"/>
        </w:rPr>
        <w:noBreakHyphen/>
        <w:t>IV controlled substance.</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trike/>
          <w:szCs w:val="24"/>
        </w:rPr>
        <w:t>(3)</w:t>
      </w:r>
      <w:r w:rsidRPr="004F542E">
        <w:rPr>
          <w:szCs w:val="24"/>
          <w:u w:val="single"/>
        </w:rPr>
        <w:t>(4)</w:t>
      </w:r>
      <w:r w:rsidRPr="004F542E">
        <w:rPr>
          <w:szCs w:val="24"/>
        </w:rPr>
        <w:tab/>
        <w:t>‘Drug control’ means the Department of Health and Environmental Control, Bureau of Drug Control.</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F542E">
        <w:rPr>
          <w:szCs w:val="24"/>
        </w:rPr>
        <w:tab/>
      </w:r>
      <w:r w:rsidRPr="004F542E">
        <w:rPr>
          <w:strike/>
          <w:szCs w:val="24"/>
        </w:rPr>
        <w:t>(4)</w:t>
      </w:r>
      <w:r w:rsidRPr="004F542E">
        <w:rPr>
          <w:szCs w:val="24"/>
          <w:u w:val="single"/>
        </w:rPr>
        <w:t>(5)</w:t>
      </w:r>
      <w:r w:rsidRPr="004F542E">
        <w:rPr>
          <w:szCs w:val="24"/>
        </w:rPr>
        <w:tab/>
        <w:t>‘Patient’ means the person or animal who is the ultimate user of a drug for whom a prescription is issued or for whom a drug is dispensed, or both.</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F542E">
        <w:rPr>
          <w:szCs w:val="24"/>
        </w:rPr>
        <w:tab/>
      </w:r>
      <w:r w:rsidRPr="004F542E">
        <w:rPr>
          <w:strike/>
          <w:szCs w:val="24"/>
        </w:rPr>
        <w:t>(5)</w:t>
      </w:r>
      <w:r w:rsidRPr="004F542E">
        <w:rPr>
          <w:szCs w:val="24"/>
          <w:u w:val="single"/>
        </w:rPr>
        <w:t>(6)</w:t>
      </w:r>
      <w:r w:rsidRPr="004F542E">
        <w:rPr>
          <w:szCs w:val="24"/>
        </w:rPr>
        <w:tab/>
      </w:r>
      <w:r w:rsidRPr="004F542E">
        <w:rPr>
          <w:szCs w:val="24"/>
          <w:u w:val="single"/>
        </w:rPr>
        <w:t>‘Practitioner’ means an individual authorized pursuant to state and federal law to prescribe controlled</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ab/>
      </w:r>
      <w:r w:rsidRPr="004F542E">
        <w:rPr>
          <w:szCs w:val="24"/>
          <w:u w:val="single"/>
        </w:rPr>
        <w:t>substances.</w:t>
      </w:r>
      <w:r w:rsidRPr="004F542E">
        <w:rPr>
          <w:szCs w:val="24"/>
        </w:rPr>
        <w:t>”</w:t>
      </w:r>
      <w:r>
        <w:rPr>
          <w:szCs w:val="24"/>
        </w:rPr>
        <w:tab/>
      </w:r>
      <w:r>
        <w:rPr>
          <w:szCs w:val="24"/>
        </w:rPr>
        <w:tab/>
      </w:r>
      <w:r w:rsidRPr="004F542E">
        <w:rPr>
          <w:szCs w:val="24"/>
        </w:rPr>
        <w:t xml:space="preserve">/ </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F542E">
        <w:rPr>
          <w:szCs w:val="24"/>
        </w:rPr>
        <w:t>Amend the bill further, page 5 by striking lines 12-20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4F542E">
        <w:rPr>
          <w:szCs w:val="24"/>
        </w:rPr>
        <w:t>/</w:t>
      </w:r>
      <w:r w:rsidRPr="004F542E">
        <w:rPr>
          <w:szCs w:val="24"/>
        </w:rPr>
        <w:tab/>
      </w:r>
      <w:r w:rsidRPr="004F542E">
        <w:rPr>
          <w:szCs w:val="24"/>
        </w:rPr>
        <w:tab/>
      </w:r>
      <w:r w:rsidRPr="004F542E">
        <w:rPr>
          <w:szCs w:val="24"/>
        </w:rPr>
        <w:tab/>
      </w:r>
      <w:r w:rsidRPr="004F542E">
        <w:rPr>
          <w:u w:color="000000" w:themeColor="text1"/>
        </w:rPr>
        <w:t>“Section 40</w:t>
      </w:r>
      <w:r w:rsidRPr="004F542E">
        <w:rPr>
          <w:u w:color="000000" w:themeColor="text1"/>
        </w:rPr>
        <w:noBreakHyphen/>
        <w:t>15</w:t>
      </w:r>
      <w:r w:rsidRPr="004F542E">
        <w:rPr>
          <w:u w:color="000000" w:themeColor="text1"/>
        </w:rPr>
        <w:noBreakHyphen/>
        <w:t>145.</w:t>
      </w:r>
      <w:r w:rsidRPr="004F542E">
        <w:rPr>
          <w:u w:color="000000" w:themeColor="text1"/>
        </w:rPr>
        <w:tab/>
        <w:t>As part of the biennial continuing education required by the board or pursuant to law, including Regulation 39</w:t>
      </w:r>
      <w:r w:rsidRPr="004F542E">
        <w:rPr>
          <w:u w:color="000000" w:themeColor="text1"/>
        </w:rPr>
        <w:noBreakHyphen/>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Pr="004F542E">
        <w:rPr>
          <w:u w:color="000000" w:themeColor="text1"/>
        </w:rPr>
        <w:noBreakHyphen/>
        <w:t>53</w:t>
      </w:r>
      <w:r w:rsidRPr="004F542E">
        <w:rPr>
          <w:u w:color="000000" w:themeColor="text1"/>
        </w:rPr>
        <w:noBreakHyphen/>
        <w:t>210, 44</w:t>
      </w:r>
      <w:r w:rsidRPr="004F542E">
        <w:rPr>
          <w:u w:color="000000" w:themeColor="text1"/>
        </w:rPr>
        <w:noBreakHyphen/>
        <w:t>53</w:t>
      </w:r>
      <w:r w:rsidRPr="004F542E">
        <w:rPr>
          <w:u w:color="000000" w:themeColor="text1"/>
        </w:rPr>
        <w:noBreakHyphen/>
        <w:t>230, and 44</w:t>
      </w:r>
      <w:r w:rsidRPr="004F542E">
        <w:rPr>
          <w:u w:color="000000" w:themeColor="text1"/>
        </w:rPr>
        <w:noBreakHyphen/>
        <w:t>53</w:t>
      </w:r>
      <w:r w:rsidRPr="004F542E">
        <w:rPr>
          <w:u w:color="000000" w:themeColor="text1"/>
        </w:rPr>
        <w:noBreakHyphen/>
        <w:t>250.”</w:t>
      </w:r>
      <w:r w:rsidRPr="004F542E">
        <w:rPr>
          <w:u w:color="000000" w:themeColor="text1"/>
        </w:rPr>
        <w:tab/>
      </w:r>
      <w:r w:rsidRPr="004F542E">
        <w:rPr>
          <w:u w:color="000000" w:themeColor="text1"/>
        </w:rPr>
        <w:tab/>
      </w:r>
      <w:r w:rsidRPr="004F542E">
        <w:rPr>
          <w:u w:color="000000" w:themeColor="text1"/>
        </w:rPr>
        <w:tab/>
      </w:r>
      <w:r w:rsidRPr="004F542E">
        <w:rPr>
          <w:u w:color="000000" w:themeColor="text1"/>
        </w:rPr>
        <w:tab/>
      </w:r>
      <w:r w:rsidRPr="004F542E">
        <w:rPr>
          <w:u w:color="000000" w:themeColor="text1"/>
        </w:rPr>
        <w:tab/>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6, by striking lines 1-9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w:t>
      </w:r>
      <w:r w:rsidRPr="004F542E">
        <w:rPr>
          <w:u w:color="000000" w:themeColor="text1"/>
        </w:rPr>
        <w:tab/>
      </w:r>
      <w:r w:rsidRPr="004F542E">
        <w:rPr>
          <w:u w:color="000000" w:themeColor="text1"/>
        </w:rPr>
        <w:tab/>
      </w:r>
      <w:r w:rsidRPr="004F542E">
        <w:rPr>
          <w:u w:color="000000" w:themeColor="text1"/>
        </w:rPr>
        <w:tab/>
        <w:t>“(3)</w:t>
      </w:r>
      <w:r w:rsidRPr="004F542E">
        <w:rPr>
          <w:u w:color="000000" w:themeColor="text1"/>
        </w:rPr>
        <w:tab/>
        <w:t xml:space="preserve">every two years, the physician assistant shall provide documentation of four continuing education </w:t>
      </w:r>
      <w:r w:rsidRPr="004F542E">
        <w:rPr>
          <w:strike/>
          <w:u w:color="000000" w:themeColor="text1"/>
        </w:rPr>
        <w:t>contact</w:t>
      </w:r>
      <w:r w:rsidRPr="004F542E">
        <w:rPr>
          <w:u w:color="000000" w:themeColor="text1"/>
        </w:rPr>
        <w:t xml:space="preserve"> hours   </w:t>
      </w:r>
      <w:r w:rsidRPr="004F542E">
        <w:rPr>
          <w:strike/>
          <w:u w:color="000000" w:themeColor="text1"/>
        </w:rPr>
        <w:t>in prescribing controlled substances acceptable to the board</w:t>
      </w:r>
      <w:r w:rsidRPr="004F542E">
        <w:rPr>
          <w:u w:val="single" w:color="000000" w:themeColor="text1"/>
        </w:rPr>
        <w:t xml:space="preserve"> </w:t>
      </w:r>
      <w:r w:rsidRPr="004F542E">
        <w:rPr>
          <w:u w:val="single"/>
        </w:rPr>
        <w:t>related to approved</w:t>
      </w:r>
      <w:r w:rsidRPr="004F542E">
        <w:rPr>
          <w:u w:val="single" w:color="000000" w:themeColor="text1"/>
        </w:rPr>
        <w:t xml:space="preserve"> procedures of prescribing and monitoring controlled substances listed in Schedules II, III, and IV of the schedules provided for in Sections 44</w:t>
      </w:r>
      <w:r w:rsidRPr="004F542E">
        <w:rPr>
          <w:u w:val="single" w:color="000000" w:themeColor="text1"/>
        </w:rPr>
        <w:noBreakHyphen/>
        <w:t>53</w:t>
      </w:r>
      <w:r w:rsidRPr="004F542E">
        <w:rPr>
          <w:u w:val="single" w:color="000000" w:themeColor="text1"/>
        </w:rPr>
        <w:noBreakHyphen/>
        <w:t>210, 44</w:t>
      </w:r>
      <w:r w:rsidRPr="004F542E">
        <w:rPr>
          <w:u w:val="single" w:color="000000" w:themeColor="text1"/>
        </w:rPr>
        <w:noBreakHyphen/>
        <w:t>53</w:t>
      </w:r>
      <w:r w:rsidRPr="004F542E">
        <w:rPr>
          <w:u w:val="single" w:color="000000" w:themeColor="text1"/>
        </w:rPr>
        <w:noBreakHyphen/>
        <w:t>230, and 44</w:t>
      </w:r>
      <w:r w:rsidRPr="004F542E">
        <w:rPr>
          <w:u w:val="single" w:color="000000" w:themeColor="text1"/>
        </w:rPr>
        <w:noBreakHyphen/>
        <w:t>53</w:t>
      </w:r>
      <w:r w:rsidRPr="004F542E">
        <w:rPr>
          <w:u w:val="single" w:color="000000" w:themeColor="text1"/>
        </w:rPr>
        <w:noBreakHyphen/>
        <w:t>250</w:t>
      </w:r>
      <w:r w:rsidRPr="004F542E">
        <w:rPr>
          <w:u w:color="000000" w:themeColor="text1"/>
        </w:rPr>
        <w:t>;”</w:t>
      </w:r>
      <w:r>
        <w:rPr>
          <w:u w:color="000000" w:themeColor="text1"/>
        </w:rPr>
        <w:tab/>
      </w:r>
      <w:r w:rsidRPr="004F542E">
        <w:rPr>
          <w:u w:color="000000" w:themeColor="text1"/>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6, by striking lines 14-37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w:t>
      </w:r>
      <w:r w:rsidRPr="004F542E">
        <w:rPr>
          <w:u w:color="000000" w:themeColor="text1"/>
        </w:rPr>
        <w:tab/>
      </w:r>
      <w:r w:rsidRPr="004F542E">
        <w:rPr>
          <w:u w:color="000000" w:themeColor="text1"/>
        </w:rPr>
        <w:tab/>
        <w:t>“Section 40</w:t>
      </w:r>
      <w:r w:rsidRPr="004F542E">
        <w:rPr>
          <w:u w:color="000000" w:themeColor="text1"/>
        </w:rPr>
        <w:noBreakHyphen/>
        <w:t>51</w:t>
      </w:r>
      <w:r w:rsidRPr="004F542E">
        <w:rPr>
          <w:u w:color="000000" w:themeColor="text1"/>
        </w:rPr>
        <w:noBreakHyphen/>
        <w:t>140.</w:t>
      </w:r>
      <w:r w:rsidRPr="004F542E">
        <w:rPr>
          <w:u w:color="000000" w:themeColor="text1"/>
        </w:rPr>
        <w:tab/>
        <w:t xml:space="preserve">A person licensed to practice podiatry must pay </w:t>
      </w:r>
      <w:r w:rsidRPr="004F542E">
        <w:rPr>
          <w:strike/>
          <w:u w:color="000000" w:themeColor="text1"/>
        </w:rPr>
        <w:t>an annual</w:t>
      </w:r>
      <w:r w:rsidRPr="004F542E">
        <w:rPr>
          <w:u w:color="000000" w:themeColor="text1"/>
        </w:rPr>
        <w:t xml:space="preserve"> </w:t>
      </w:r>
      <w:r w:rsidRPr="004F542E">
        <w:rPr>
          <w:u w:val="single"/>
        </w:rPr>
        <w:t>a biennial</w:t>
      </w:r>
      <w:r w:rsidRPr="004F542E">
        <w:rPr>
          <w:u w:color="000000" w:themeColor="text1"/>
        </w:rPr>
        <w:t xml:space="preserve"> renewal license fee which must be </w:t>
      </w:r>
      <w:r w:rsidRPr="004F542E">
        <w:rPr>
          <w:u w:color="000000" w:themeColor="text1"/>
        </w:rPr>
        <w:lastRenderedPageBreak/>
        <w:t xml:space="preserve">established in regulation by the board, </w:t>
      </w:r>
      <w:r w:rsidRPr="004F542E">
        <w:rPr>
          <w:strike/>
          <w:u w:color="000000" w:themeColor="text1"/>
        </w:rPr>
        <w:t>annually</w:t>
      </w:r>
      <w:r w:rsidRPr="004F542E">
        <w:rPr>
          <w:u w:color="000000" w:themeColor="text1"/>
        </w:rPr>
        <w:t xml:space="preserve"> </w:t>
      </w:r>
      <w:r w:rsidRPr="004F542E">
        <w:rPr>
          <w:u w:val="single"/>
        </w:rPr>
        <w:t>biennially</w:t>
      </w:r>
      <w:r w:rsidRPr="004F542E">
        <w:rPr>
          <w:u w:color="000000" w:themeColor="text1"/>
        </w:rPr>
        <w:t xml:space="preserve"> must complete </w:t>
      </w:r>
      <w:r w:rsidRPr="004F542E">
        <w:rPr>
          <w:strike/>
          <w:u w:color="000000" w:themeColor="text1"/>
        </w:rPr>
        <w:t>twelve</w:t>
      </w:r>
      <w:r w:rsidRPr="004F542E">
        <w:rPr>
          <w:u w:color="000000" w:themeColor="text1"/>
        </w:rPr>
        <w:t xml:space="preserve"> </w:t>
      </w:r>
      <w:r w:rsidRPr="004F542E">
        <w:rPr>
          <w:u w:val="single"/>
        </w:rPr>
        <w:t>twenty-four</w:t>
      </w:r>
      <w:r w:rsidRPr="004F542E">
        <w:rPr>
          <w:u w:color="000000" w:themeColor="text1"/>
        </w:rPr>
        <w:t xml:space="preserve"> hours of continuing medical education through a program approved by the South Carolina Board of Podiatry Examiners, and must submit documentation to the board of completion of this education. </w:t>
      </w:r>
      <w:r w:rsidRPr="004F542E">
        <w:rPr>
          <w:u w:val="single" w:color="000000" w:themeColor="text1"/>
        </w:rPr>
        <w:t>If a podiatrist is authorized pursuant to state and federal law to prescribe controlled substances, two of the requisite biennial hours of continuing education must be related to approved procedures of prescribing and monitoring controlled substances listed in Schedules II, III, and IV of the schedules provided for in Sections 44</w:t>
      </w:r>
      <w:r w:rsidRPr="004F542E">
        <w:rPr>
          <w:u w:val="single" w:color="000000" w:themeColor="text1"/>
        </w:rPr>
        <w:noBreakHyphen/>
        <w:t>53</w:t>
      </w:r>
      <w:r w:rsidRPr="004F542E">
        <w:rPr>
          <w:u w:val="single" w:color="000000" w:themeColor="text1"/>
        </w:rPr>
        <w:noBreakHyphen/>
        <w:t>210, 44</w:t>
      </w:r>
      <w:r w:rsidRPr="004F542E">
        <w:rPr>
          <w:u w:val="single" w:color="000000" w:themeColor="text1"/>
        </w:rPr>
        <w:noBreakHyphen/>
        <w:t>53</w:t>
      </w:r>
      <w:r w:rsidRPr="004F542E">
        <w:rPr>
          <w:u w:val="single" w:color="000000" w:themeColor="text1"/>
        </w:rPr>
        <w:noBreakHyphen/>
        <w:t>230, and 44</w:t>
      </w:r>
      <w:r w:rsidRPr="004F542E">
        <w:rPr>
          <w:u w:val="single" w:color="000000" w:themeColor="text1"/>
        </w:rPr>
        <w:noBreakHyphen/>
        <w:t>53</w:t>
      </w:r>
      <w:r w:rsidRPr="004F542E">
        <w:rPr>
          <w:u w:val="single" w:color="000000" w:themeColor="text1"/>
        </w:rPr>
        <w:noBreakHyphen/>
        <w:t>250.</w:t>
      </w:r>
      <w:r w:rsidRPr="004F542E">
        <w:rPr>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4F542E">
        <w:rPr>
          <w:strike/>
          <w:u w:color="000000" w:themeColor="text1"/>
        </w:rPr>
        <w:t>This continuing education requirement takes effect and applies to licenses being renewed beginning in 1997.</w:t>
      </w:r>
      <w:r w:rsidRPr="004F542E">
        <w:rPr>
          <w:u w:color="000000" w:themeColor="text1"/>
        </w:rPr>
        <w:t xml:space="preserve"> If the renewal fee is not paid within two months after the date of notification by the </w:t>
      </w:r>
      <w:r w:rsidRPr="004F542E">
        <w:rPr>
          <w:strike/>
          <w:u w:color="000000" w:themeColor="text1"/>
        </w:rPr>
        <w:t>secretary</w:t>
      </w:r>
      <w:r w:rsidRPr="004F542E">
        <w:rPr>
          <w:u w:color="000000" w:themeColor="text1"/>
        </w:rPr>
        <w:t xml:space="preserve"> </w:t>
      </w:r>
      <w:r w:rsidRPr="004F542E">
        <w:rPr>
          <w:u w:val="single"/>
        </w:rPr>
        <w:t>department</w:t>
      </w:r>
      <w:r w:rsidRPr="004F542E">
        <w:rPr>
          <w:u w:color="000000" w:themeColor="text1"/>
        </w:rPr>
        <w:t xml:space="preserve">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Amend the bill further, page 6 by striking lines 42-43 and page 7 by striking lines 1-10 and inserting:</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F542E">
        <w:rPr>
          <w:u w:color="000000" w:themeColor="text1"/>
        </w:rPr>
        <w:t>/</w:t>
      </w:r>
      <w:r w:rsidRPr="004F542E">
        <w:rPr>
          <w:u w:color="000000" w:themeColor="text1"/>
        </w:rPr>
        <w:tab/>
      </w:r>
      <w:r w:rsidRPr="004F542E">
        <w:rPr>
          <w:u w:color="000000" w:themeColor="text1"/>
        </w:rPr>
        <w:tab/>
        <w:t>“(B)</w:t>
      </w:r>
      <w:r w:rsidRPr="004F542E">
        <w:rPr>
          <w:u w:color="000000" w:themeColor="text1"/>
        </w:rPr>
        <w:tab/>
        <w:t>Each licensed pharmacist, as a condition of an active status license renewal, shall complete fifteen hours (1.5 CEU’s) of American Council on Pharmaceutical Education (ACPE) accredited continuing pharmacy education or continuing medical education (CME),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4F542E">
        <w:rPr>
          <w:strike/>
          <w:u w:color="000000" w:themeColor="text1"/>
        </w:rPr>
        <w:t>.</w:t>
      </w:r>
      <w:r w:rsidRPr="004F542E">
        <w:rPr>
          <w:u w:color="000000" w:themeColor="text1"/>
        </w:rPr>
        <w:t xml:space="preserve"> </w:t>
      </w:r>
      <w:r w:rsidRPr="004F542E">
        <w:rPr>
          <w:u w:val="single"/>
        </w:rPr>
        <w:t xml:space="preserve">and </w:t>
      </w:r>
      <w:r w:rsidRPr="004F542E">
        <w:rPr>
          <w:u w:val="single" w:color="000000" w:themeColor="text1"/>
        </w:rPr>
        <w:t>at least one hour must be related to approved procedures for  monitoring controlled substances listed in Schedules II, III</w:t>
      </w:r>
      <w:r w:rsidR="00173E96">
        <w:rPr>
          <w:u w:val="single" w:color="000000" w:themeColor="text1"/>
        </w:rPr>
        <w:t>,</w:t>
      </w:r>
      <w:r w:rsidRPr="004F542E">
        <w:rPr>
          <w:u w:val="single" w:color="000000" w:themeColor="text1"/>
        </w:rPr>
        <w:t xml:space="preserve"> and IV of the schedules provided for in Sections 44</w:t>
      </w:r>
      <w:r w:rsidRPr="004F542E">
        <w:rPr>
          <w:u w:val="single" w:color="000000" w:themeColor="text1"/>
        </w:rPr>
        <w:noBreakHyphen/>
        <w:t>53</w:t>
      </w:r>
      <w:r w:rsidRPr="004F542E">
        <w:rPr>
          <w:u w:val="single" w:color="000000" w:themeColor="text1"/>
        </w:rPr>
        <w:noBreakHyphen/>
        <w:t>210, 44</w:t>
      </w:r>
      <w:r w:rsidRPr="004F542E">
        <w:rPr>
          <w:u w:val="single" w:color="000000" w:themeColor="text1"/>
        </w:rPr>
        <w:noBreakHyphen/>
        <w:t>53</w:t>
      </w:r>
      <w:r w:rsidRPr="004F542E">
        <w:rPr>
          <w:u w:val="single" w:color="000000" w:themeColor="text1"/>
        </w:rPr>
        <w:noBreakHyphen/>
        <w:t>230, and 44</w:t>
      </w:r>
      <w:r w:rsidRPr="004F542E">
        <w:rPr>
          <w:u w:val="single" w:color="000000" w:themeColor="text1"/>
        </w:rPr>
        <w:noBreakHyphen/>
        <w:t>53</w:t>
      </w:r>
      <w:r w:rsidRPr="004F542E">
        <w:rPr>
          <w:u w:val="single" w:color="000000" w:themeColor="text1"/>
        </w:rPr>
        <w:noBreakHyphen/>
        <w:t>250.</w:t>
      </w:r>
      <w:r w:rsidRPr="004F542E">
        <w:rPr>
          <w:u w:color="000000" w:themeColor="text1"/>
        </w:rPr>
        <w:t>”</w:t>
      </w:r>
      <w:r>
        <w:rPr>
          <w:u w:color="000000" w:themeColor="text1"/>
        </w:rPr>
        <w:tab/>
      </w:r>
      <w:r w:rsidRPr="004F542E">
        <w:rPr>
          <w:u w:color="000000" w:themeColor="text1"/>
        </w:rPr>
        <w:t>/</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2E">
        <w:rPr>
          <w:snapToGrid w:val="0"/>
        </w:rPr>
        <w:tab/>
        <w:t>Renumber sections to conform.</w:t>
      </w:r>
    </w:p>
    <w:p w:rsid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F542E">
        <w:rPr>
          <w:snapToGrid w:val="0"/>
        </w:rPr>
        <w:tab/>
        <w:t>Amend title to conform.</w:t>
      </w:r>
    </w:p>
    <w:p w:rsidR="00063789" w:rsidRPr="004F542E"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rFonts w:eastAsiaTheme="majorEastAsia"/>
          <w:b/>
          <w:bCs/>
          <w:szCs w:val="22"/>
        </w:rPr>
      </w:pPr>
      <w:r w:rsidRPr="00063789">
        <w:rPr>
          <w:rFonts w:eastAsiaTheme="majorEastAsia"/>
          <w:b/>
          <w:bCs/>
          <w:szCs w:val="22"/>
        </w:rPr>
        <w:t>Explanation of Fiscal Impact</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063789">
        <w:rPr>
          <w:rFonts w:eastAsiaTheme="minorHAnsi"/>
          <w:b/>
          <w:bCs/>
          <w:szCs w:val="22"/>
        </w:rPr>
        <w:t>Introduced February 22, 2017</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063789">
        <w:rPr>
          <w:rFonts w:eastAsiaTheme="minorHAnsi"/>
          <w:b/>
          <w:bCs/>
          <w:szCs w:val="22"/>
        </w:rPr>
        <w:t>State Expenditure</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szCs w:val="22"/>
        </w:rPr>
        <w:tab/>
        <w:t>This bill requires practitioners authorized to prescribe controlled substances, or their delegate, to review a patient’s controlled substance prescription history, maintained in the prescription monitoring program, before issuing a prescription for a Schedule II controlled substance. Consultations between practitioner and delegate must be recorded in the patient’s medical record. Exceptions to this review requirement are allowed for treating hospice-certified patients or patients in a skilled nursing facility, for chronic pain treatment under certain circumstances, and for supplies of less than five days. An exception is also allowed when treatment is imperative and the practitioner is unable to access the prescription monitoring program, provided that this situation is documented in the patient’s medical record. Violations of the review requirements are to be reported to the appropriate board for disciplinary action.</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szCs w:val="22"/>
        </w:rPr>
        <w:tab/>
        <w:t>The bill requires dentists, optometrists, physician assistants, podiatrists, and pharmacists to complete at least two hours of continuing education related to the approved procedures for prescribing and monitoring controlled substances listed in Schedules II, III, and IV.</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b/>
          <w:szCs w:val="22"/>
        </w:rPr>
        <w:t>Department of Health and Environmental Control.</w:t>
      </w:r>
      <w:r w:rsidRPr="00063789">
        <w:rPr>
          <w:rFonts w:eastAsiaTheme="minorHAnsi"/>
          <w:szCs w:val="22"/>
        </w:rPr>
        <w:t xml:space="preserve"> The department reports that this bill would have no expenditure impact on the general fund, federal funds, or other funds as the agency already maintains the prescription monitoring program. The primary impact of this bill is on practitioners prescribing controlled substances who must comply with the new requirements.</w:t>
      </w:r>
    </w:p>
    <w:p w:rsidR="00063789" w:rsidRPr="00063789" w:rsidRDefault="00063789" w:rsidP="00063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63789">
        <w:rPr>
          <w:rFonts w:eastAsiaTheme="minorHAnsi"/>
          <w:b/>
          <w:szCs w:val="22"/>
        </w:rPr>
        <w:t>Department of Labor, Licensing and Regulation.</w:t>
      </w:r>
      <w:r w:rsidRPr="00063789">
        <w:rPr>
          <w:rFonts w:eastAsiaTheme="minorHAnsi"/>
          <w:szCs w:val="22"/>
        </w:rPr>
        <w:t xml:space="preserve"> The department reports that this bill would have no expenditure impact on the general fund, federal funds, or other funds as regulatory procedures are already in place that would allow the various boards to verify that the educational requirements imposed by the bill have been completed by licensees.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63789" w:rsidRP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A4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licensed healthcare provider;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in which medications are provided and monitored by staff; or</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who is temporarily unable to access the prescription monitoring program due to exigent circumstances; 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FF5BDB">
        <w:noBreakHyphen/>
      </w:r>
      <w:r>
        <w:t>53</w:t>
      </w:r>
      <w:r w:rsidR="00FF5BDB">
        <w:noBreakHyphen/>
      </w:r>
      <w:r>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(1)</w:t>
      </w:r>
      <w:r>
        <w:rPr>
          <w:szCs w:val="24"/>
        </w:rPr>
        <w:tab/>
      </w:r>
      <w:r w:rsidR="00FF5BDB" w:rsidRPr="00FF5BDB">
        <w:rPr>
          <w:szCs w:val="24"/>
        </w:rPr>
        <w:t>‘</w:t>
      </w:r>
      <w:r w:rsidRPr="00A26942">
        <w:rPr>
          <w:szCs w:val="24"/>
        </w:rPr>
        <w:t>Controlled substances</w:t>
      </w:r>
      <w:r w:rsidR="00FF5BDB" w:rsidRPr="00FF5BDB">
        <w:rPr>
          <w:szCs w:val="24"/>
        </w:rPr>
        <w:t>’</w:t>
      </w:r>
      <w:r w:rsidRPr="00A26942">
        <w:rPr>
          <w:szCs w:val="24"/>
        </w:rPr>
        <w:t xml:space="preserve"> means those substances listed in Schedules II, III, and IV of the schedules provided for in Sections 44</w:t>
      </w:r>
      <w:r w:rsidR="00FF5BDB">
        <w:rPr>
          <w:szCs w:val="24"/>
        </w:rPr>
        <w:noBreakHyphen/>
      </w:r>
      <w:r w:rsidRPr="00A26942">
        <w:rPr>
          <w:szCs w:val="24"/>
        </w:rPr>
        <w:t>53</w:t>
      </w:r>
      <w:r w:rsidR="00FF5BDB">
        <w:rPr>
          <w:szCs w:val="24"/>
        </w:rPr>
        <w:noBreakHyphen/>
      </w:r>
      <w:r w:rsidRPr="00A26942">
        <w:rPr>
          <w:szCs w:val="24"/>
        </w:rPr>
        <w:t>210, 44</w:t>
      </w:r>
      <w:r w:rsidR="00FF5BDB">
        <w:rPr>
          <w:szCs w:val="24"/>
        </w:rPr>
        <w:noBreakHyphen/>
      </w:r>
      <w:r w:rsidRPr="00A26942">
        <w:rPr>
          <w:szCs w:val="24"/>
        </w:rPr>
        <w:t>53</w:t>
      </w:r>
      <w:r w:rsidR="00FF5BDB">
        <w:rPr>
          <w:szCs w:val="24"/>
        </w:rPr>
        <w:noBreakHyphen/>
      </w:r>
      <w:r w:rsidRPr="00A26942">
        <w:rPr>
          <w:szCs w:val="24"/>
        </w:rPr>
        <w:t>230, 44</w:t>
      </w:r>
      <w:r w:rsidR="00FF5BDB">
        <w:rPr>
          <w:szCs w:val="24"/>
        </w:rPr>
        <w:noBreakHyphen/>
      </w:r>
      <w:r w:rsidRPr="00A26942">
        <w:rPr>
          <w:szCs w:val="24"/>
        </w:rPr>
        <w:t>53</w:t>
      </w:r>
      <w:r w:rsidR="00FF5BDB">
        <w:rPr>
          <w:szCs w:val="24"/>
        </w:rPr>
        <w:noBreakHyphen/>
      </w:r>
      <w:r w:rsidRPr="00A26942">
        <w:rPr>
          <w:szCs w:val="24"/>
        </w:rPr>
        <w:t>250, and 44</w:t>
      </w:r>
      <w:r w:rsidR="00FF5BDB">
        <w:rPr>
          <w:szCs w:val="24"/>
        </w:rPr>
        <w:noBreakHyphen/>
      </w:r>
      <w:r w:rsidRPr="00A26942">
        <w:rPr>
          <w:szCs w:val="24"/>
        </w:rPr>
        <w:t>53</w:t>
      </w:r>
      <w:r w:rsidR="00FF5BDB">
        <w:rPr>
          <w:szCs w:val="24"/>
        </w:rPr>
        <w:noBreakHyphen/>
      </w:r>
      <w:r w:rsidRPr="00A26942">
        <w:rPr>
          <w:szCs w:val="24"/>
        </w:rPr>
        <w:t>270.</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(2)</w:t>
      </w:r>
      <w:r>
        <w:rPr>
          <w:szCs w:val="24"/>
        </w:rPr>
        <w:tab/>
      </w:r>
      <w:r w:rsidR="00FF5BDB" w:rsidRPr="00FF5BDB">
        <w:rPr>
          <w:szCs w:val="24"/>
        </w:rPr>
        <w:t>‘</w:t>
      </w:r>
      <w:r w:rsidRPr="00A26942">
        <w:rPr>
          <w:szCs w:val="24"/>
        </w:rPr>
        <w:t>Dispenser</w:t>
      </w:r>
      <w:r w:rsidR="00FF5BDB" w:rsidRPr="00FF5BDB">
        <w:rPr>
          <w:szCs w:val="24"/>
        </w:rPr>
        <w:t>’</w:t>
      </w:r>
      <w:r w:rsidRPr="00A26942">
        <w:rPr>
          <w:szCs w:val="24"/>
        </w:rPr>
        <w:t xml:space="preserve"> means a person who delivers a Schedule II</w:t>
      </w:r>
      <w:r w:rsidR="00FF5BDB">
        <w:rPr>
          <w:szCs w:val="24"/>
        </w:rPr>
        <w:noBreakHyphen/>
      </w:r>
      <w:r w:rsidRPr="00A26942">
        <w:rPr>
          <w:szCs w:val="24"/>
        </w:rPr>
        <w:t>IV controlled substance to the ultimate user, but does not include: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sidR="00FF5BDB">
        <w:rPr>
          <w:szCs w:val="24"/>
        </w:rPr>
        <w:noBreakHyphen/>
      </w:r>
      <w:r w:rsidRPr="00A26942">
        <w:rPr>
          <w:szCs w:val="24"/>
        </w:rPr>
        <w:t>IV controlled substance.</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(3)</w:t>
      </w:r>
      <w:r>
        <w:rPr>
          <w:szCs w:val="24"/>
        </w:rPr>
        <w:tab/>
      </w:r>
      <w:r w:rsidR="00FF5BDB" w:rsidRPr="00FF5BDB">
        <w:rPr>
          <w:szCs w:val="24"/>
        </w:rPr>
        <w:t>‘</w:t>
      </w:r>
      <w:r w:rsidRPr="00A26942">
        <w:rPr>
          <w:szCs w:val="24"/>
        </w:rPr>
        <w:t>Drug control</w:t>
      </w:r>
      <w:r w:rsidR="00FF5BDB" w:rsidRPr="00FF5BDB">
        <w:rPr>
          <w:szCs w:val="24"/>
        </w:rPr>
        <w:t>’</w:t>
      </w:r>
      <w:r w:rsidRPr="00A26942">
        <w:rPr>
          <w:szCs w:val="24"/>
        </w:rPr>
        <w:t xml:space="preserve"> means the Department of Health and Environmental Control, Bureau of Drug Control.</w:t>
      </w:r>
    </w:p>
    <w:p w:rsidR="00A26942" w:rsidRP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t>(4)</w:t>
      </w:r>
      <w:r>
        <w:rPr>
          <w:szCs w:val="24"/>
        </w:rPr>
        <w:tab/>
      </w:r>
      <w:r w:rsidR="00FF5BDB" w:rsidRPr="00FF5BDB">
        <w:rPr>
          <w:szCs w:val="24"/>
        </w:rPr>
        <w:t>‘</w:t>
      </w:r>
      <w:r w:rsidRPr="00A26942">
        <w:rPr>
          <w:szCs w:val="24"/>
        </w:rPr>
        <w:t>Patient</w:t>
      </w:r>
      <w:r w:rsidR="00FF5BDB"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(5)</w:t>
      </w:r>
      <w:r>
        <w:rPr>
          <w:szCs w:val="24"/>
        </w:rPr>
        <w:tab/>
      </w:r>
      <w:r w:rsidR="00FF5BDB" w:rsidRPr="00FF5BDB">
        <w:rPr>
          <w:szCs w:val="24"/>
        </w:rPr>
        <w:t>‘</w:t>
      </w:r>
      <w:r w:rsidRPr="00A26942">
        <w:rPr>
          <w:szCs w:val="24"/>
        </w:rPr>
        <w:t>Authorized delegate</w:t>
      </w:r>
      <w:r w:rsidR="00FF5BDB"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A26942" w:rsidRPr="00C61006" w:rsidRDefault="00A26942" w:rsidP="00A26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C61006">
        <w:rPr>
          <w:szCs w:val="24"/>
          <w:u w:val="single"/>
        </w:rPr>
        <w:t>(6)</w:t>
      </w:r>
      <w:r w:rsidR="00C26759" w:rsidRPr="00C26759">
        <w:rPr>
          <w:szCs w:val="24"/>
        </w:rPr>
        <w:tab/>
      </w:r>
      <w:r w:rsidR="00FF5BDB" w:rsidRPr="00FF5BDB">
        <w:rPr>
          <w:szCs w:val="24"/>
          <w:u w:val="single"/>
        </w:rPr>
        <w:t>‘</w:t>
      </w:r>
      <w:r w:rsidR="00C61006">
        <w:rPr>
          <w:szCs w:val="24"/>
          <w:u w:val="single"/>
        </w:rPr>
        <w:t>Practitioner</w:t>
      </w:r>
      <w:r w:rsidR="00FF5BDB" w:rsidRPr="00FF5BDB">
        <w:rPr>
          <w:szCs w:val="24"/>
          <w:u w:val="single"/>
        </w:rPr>
        <w:t>’</w:t>
      </w:r>
      <w:r w:rsidR="00C61006">
        <w:rPr>
          <w:szCs w:val="24"/>
          <w:u w:val="single"/>
        </w:rPr>
        <w:t xml:space="preserve"> means an individual authorized pursuant to sta</w:t>
      </w:r>
      <w:r w:rsidR="00570E9B">
        <w:rPr>
          <w:szCs w:val="24"/>
          <w:u w:val="single"/>
        </w:rPr>
        <w:t>t</w:t>
      </w:r>
      <w:r w:rsidR="00C61006">
        <w:rPr>
          <w:szCs w:val="24"/>
          <w:u w:val="single"/>
        </w:rPr>
        <w:t>e and federal law to prescribe controlled substances.</w:t>
      </w:r>
      <w:r w:rsidR="00932AAB">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w:t>
      </w:r>
      <w:r w:rsidRPr="000A35F0">
        <w:lastRenderedPageBreak/>
        <w:t>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criminal or administrative action for injury, death, or loss to person or property on the basis that the pharmacist or practitioner did or did not seek or obtain information from the prescription monitoring </w:t>
      </w:r>
      <w:r w:rsidRPr="0060401E">
        <w:rPr>
          <w:color w:val="000000" w:themeColor="text1"/>
          <w:u w:color="000000" w:themeColor="text1"/>
        </w:rPr>
        <w:lastRenderedPageBreak/>
        <w:t>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3352" w:rsidRPr="00A040CF">
        <w:rPr>
          <w:color w:val="000000" w:themeColor="text1"/>
          <w:u w:color="000000" w:themeColor="text1"/>
        </w:rPr>
        <w:t>“Section 40</w:t>
      </w:r>
      <w:r w:rsidR="00FF5BDB">
        <w:rPr>
          <w:color w:val="000000" w:themeColor="text1"/>
          <w:u w:color="000000" w:themeColor="text1"/>
        </w:rPr>
        <w:noBreakHyphen/>
      </w:r>
      <w:r w:rsidR="004A3352" w:rsidRPr="00A040CF">
        <w:rPr>
          <w:color w:val="000000" w:themeColor="text1"/>
          <w:u w:color="000000" w:themeColor="text1"/>
        </w:rPr>
        <w:t>15</w:t>
      </w:r>
      <w:r w:rsidR="00FF5BDB">
        <w:rPr>
          <w:color w:val="000000" w:themeColor="text1"/>
          <w:u w:color="000000" w:themeColor="text1"/>
        </w:rPr>
        <w:noBreakHyphen/>
      </w:r>
      <w:r w:rsidR="004A3352" w:rsidRPr="00A040CF">
        <w:rPr>
          <w:color w:val="000000" w:themeColor="text1"/>
          <w:u w:color="000000" w:themeColor="text1"/>
        </w:rPr>
        <w:t>145.</w:t>
      </w:r>
      <w:r w:rsidR="004A3352">
        <w:rPr>
          <w:color w:val="000000" w:themeColor="text1"/>
          <w:u w:color="000000" w:themeColor="text1"/>
        </w:rPr>
        <w:tab/>
      </w:r>
      <w:r w:rsidR="004A3352" w:rsidRPr="00A040CF">
        <w:rPr>
          <w:color w:val="000000" w:themeColor="text1"/>
          <w:u w:color="000000" w:themeColor="text1"/>
        </w:rPr>
        <w:t>In addition to any other continuing education required by the board or pursuant to law, including Regulation 39</w:t>
      </w:r>
      <w:r w:rsidR="00FF5BDB">
        <w:rPr>
          <w:color w:val="000000" w:themeColor="text1"/>
          <w:u w:color="000000" w:themeColor="text1"/>
        </w:rPr>
        <w:noBreakHyphen/>
      </w:r>
      <w:r w:rsidR="004A3352"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210, 44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230, and 44</w:t>
      </w:r>
      <w:r w:rsidR="00FF5BDB">
        <w:rPr>
          <w:color w:val="000000" w:themeColor="text1"/>
          <w:u w:color="000000" w:themeColor="text1"/>
        </w:rPr>
        <w:noBreakHyphen/>
      </w:r>
      <w:r w:rsidR="004A3352" w:rsidRPr="00A040CF">
        <w:rPr>
          <w:color w:val="000000" w:themeColor="text1"/>
          <w:u w:color="000000" w:themeColor="text1"/>
        </w:rPr>
        <w:t>53</w:t>
      </w:r>
      <w:r w:rsidR="00FF5BDB">
        <w:rPr>
          <w:color w:val="000000" w:themeColor="text1"/>
          <w:u w:color="000000" w:themeColor="text1"/>
        </w:rPr>
        <w:noBreakHyphen/>
      </w:r>
      <w:r w:rsidR="004A3352"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color="000000" w:themeColor="text1"/>
        </w:rPr>
        <w:tab/>
        <w:t>“(3)</w:t>
      </w:r>
      <w:r w:rsidRPr="0060401E">
        <w:rPr>
          <w:color w:val="000000" w:themeColor="text1"/>
          <w:u w:color="000000" w:themeColor="text1"/>
        </w:rPr>
        <w:tab/>
        <w:t xml:space="preserve">every two years, the physician assistant shall provide documentation of four continuing education contact hours in prescribing controlled substances acceptable to the </w:t>
      </w:r>
      <w:r w:rsidRPr="00533D06">
        <w:rPr>
          <w:color w:val="000000" w:themeColor="text1"/>
          <w:u w:color="000000" w:themeColor="text1"/>
        </w:rPr>
        <w:t>board</w:t>
      </w:r>
      <w:r w:rsidRPr="00533D06">
        <w:rPr>
          <w:color w:val="000000" w:themeColor="text1"/>
          <w:u w:val="single" w:color="000000" w:themeColor="text1"/>
        </w:rPr>
        <w:t xml:space="preserve">. If a </w:t>
      </w:r>
      <w:r w:rsidRPr="00533D06">
        <w:rPr>
          <w:color w:val="000000" w:themeColor="text1"/>
          <w:u w:val="single" w:color="000000" w:themeColor="text1"/>
        </w:rPr>
        <w:lastRenderedPageBreak/>
        <w:t>physician assistant is authorized pursuant to state and federal law to prescribe controlled substances, two of the requisite hours of continuing education must be related to approved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210, 44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230, and 44</w:t>
      </w:r>
      <w:r w:rsidR="00FF5BDB">
        <w:rPr>
          <w:color w:val="000000" w:themeColor="text1"/>
          <w:u w:val="single" w:color="000000" w:themeColor="text1"/>
        </w:rPr>
        <w:noBreakHyphen/>
      </w:r>
      <w:r w:rsidRPr="00533D06">
        <w:rPr>
          <w:color w:val="000000" w:themeColor="text1"/>
          <w:u w:val="single" w:color="000000" w:themeColor="text1"/>
        </w:rPr>
        <w:t>53</w:t>
      </w:r>
      <w:r w:rsidR="00FF5BDB">
        <w:rPr>
          <w:color w:val="000000" w:themeColor="text1"/>
          <w:u w:val="single" w:color="000000" w:themeColor="text1"/>
        </w:rPr>
        <w:noBreakHyphen/>
      </w:r>
      <w:r w:rsidRPr="00533D06">
        <w:rPr>
          <w:color w:val="000000" w:themeColor="text1"/>
          <w:u w:val="single" w:color="000000" w:themeColor="text1"/>
        </w:rPr>
        <w:t>250</w:t>
      </w:r>
      <w:r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sidR="00FF5BDB">
        <w:rPr>
          <w:color w:val="000000" w:themeColor="text1"/>
          <w:u w:color="000000" w:themeColor="text1"/>
        </w:rPr>
        <w:noBreakHyphen/>
      </w:r>
      <w:r w:rsidRPr="00533D06">
        <w:rPr>
          <w:color w:val="000000" w:themeColor="text1"/>
          <w:u w:color="000000" w:themeColor="text1"/>
        </w:rPr>
        <w:t>51</w:t>
      </w:r>
      <w:r w:rsidR="00FF5BDB">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an annual renewal license fee which must be established in regulation by the board, annually must complete twelve 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If a podiatrist is authorized pursuant to state and federal law to prescribe controlled substances, two of the requisite hours of continuing education every two years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This continuing education requirement takes effect and applies to licenses being renewed beginning in 1997. If the renewal fee is not paid within two months after the date of notification by the secretary 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00FF5BDB"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(CME), Category I, or both, each license year. Of the fifteen hours, </w:t>
      </w:r>
      <w:r w:rsidRPr="0060401E">
        <w:rPr>
          <w:color w:val="000000" w:themeColor="text1"/>
          <w:u w:color="000000" w:themeColor="text1"/>
        </w:rPr>
        <w:lastRenderedPageBreak/>
        <w:t>a minimum of six hours must be obtained through attendance at lectures, seminars, or workshops. At least fifty percent of the total number of hours required must be in drug therapy or patient management.</w:t>
      </w:r>
      <w:r>
        <w:rPr>
          <w:color w:val="000000" w:themeColor="text1"/>
          <w:u w:color="000000" w:themeColor="text1"/>
        </w:rPr>
        <w:t xml:space="preserve"> </w:t>
      </w:r>
      <w:r w:rsidRPr="00A040CF">
        <w:rPr>
          <w:color w:val="000000" w:themeColor="text1"/>
          <w:u w:val="single" w:color="000000" w:themeColor="text1"/>
        </w:rPr>
        <w:t>Every two years, at least two hours of the required continuing education must be related to controlled substances listed in Schedules II, III and IV of the schedules provided for in Sections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210, 44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230, and 44</w:t>
      </w:r>
      <w:r w:rsidR="00FF5BDB">
        <w:rPr>
          <w:color w:val="000000" w:themeColor="text1"/>
          <w:u w:val="single" w:color="000000" w:themeColor="text1"/>
        </w:rPr>
        <w:noBreakHyphen/>
      </w:r>
      <w:r w:rsidRPr="00A040CF">
        <w:rPr>
          <w:color w:val="000000" w:themeColor="text1"/>
          <w:u w:val="single" w:color="000000" w:themeColor="text1"/>
        </w:rPr>
        <w:t>53</w:t>
      </w:r>
      <w:r w:rsidR="00FF5BDB">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C0475C"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41B" w:rsidRDefault="00F9741B" w:rsidP="00F9741B">
      <w:pPr>
        <w:suppressAutoHyphens/>
      </w:pPr>
    </w:p>
    <w:sectPr w:rsidR="00F9741B"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0CAAF2-EE27-4A0A-B3C5-CD6AD9447281}"/>
    <w:embedBold r:id="rId2" w:fontKey="{DC37B85F-8AAE-4E1C-B7B7-128FD37CFE82}"/>
  </w:font>
  <w:font w:name="Calibri">
    <w:panose1 w:val="020F0502020204030204"/>
    <w:charset w:val="00"/>
    <w:family w:val="swiss"/>
    <w:pitch w:val="variable"/>
    <w:sig w:usb0="E00002FF" w:usb1="4000ACFF" w:usb2="00000001" w:usb3="00000000" w:csb0="0000019F" w:csb1="00000000"/>
    <w:embedRegular r:id="rId3" w:fontKey="{FE5FEAC9-A39C-4391-B230-79E47CDDE766}"/>
    <w:embedBold r:id="rId4" w:fontKey="{96A19706-CF3F-4315-8C3D-22B1CD0483DB}"/>
  </w:font>
  <w:font w:name="Cambria">
    <w:panose1 w:val="02040503050406030204"/>
    <w:charset w:val="00"/>
    <w:family w:val="roman"/>
    <w:pitch w:val="variable"/>
    <w:sig w:usb0="E00002FF" w:usb1="400004FF" w:usb2="00000000" w:usb3="00000000" w:csb0="0000019F" w:csb1="00000000"/>
    <w:embedRegular r:id="rId5" w:fontKey="{1419DC80-9910-47D6-B419-0FCC41D6CC02}"/>
  </w:font>
  <w:font w:name="Segoe UI">
    <w:panose1 w:val="020B0502040204020203"/>
    <w:charset w:val="00"/>
    <w:family w:val="swiss"/>
    <w:pitch w:val="variable"/>
    <w:sig w:usb0="E10022FF" w:usb1="C000E47F" w:usb2="00000029" w:usb3="00000000" w:csb0="000001DF" w:csb1="00000000"/>
    <w:embedRegular r:id="rId6" w:fontKey="{4BF7FD7B-1DA4-4541-8EBD-69DF463FF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F9741B">
      <w:rPr>
        <w:noProof/>
      </w:rPr>
      <w:t>4</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F974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D58AA"/>
    <w:rsid w:val="0071319E"/>
    <w:rsid w:val="00715D95"/>
    <w:rsid w:val="0073459E"/>
    <w:rsid w:val="00734F00"/>
    <w:rsid w:val="00736418"/>
    <w:rsid w:val="007950E6"/>
    <w:rsid w:val="00795F91"/>
    <w:rsid w:val="007A70AE"/>
    <w:rsid w:val="007B6F43"/>
    <w:rsid w:val="007C34C7"/>
    <w:rsid w:val="007D4CF1"/>
    <w:rsid w:val="008362E8"/>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9741B"/>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D276D-E611-48E2-9D70-50B92124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87D724C2</Template>
  <TotalTime>0</TotalTime>
  <Pages>11</Pages>
  <Words>3276</Words>
  <Characters>18486</Characters>
  <Application>Microsoft Office Word</Application>
  <DocSecurity>0</DocSecurity>
  <Lines>436</Lines>
  <Paragraphs>93</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21788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(Apr. 26, 2017) - South Carolina Legislature Online</dc:title>
  <dc:creator>%USERNAME%</dc:creator>
  <cp:lastModifiedBy>Lavarres Lynch</cp:lastModifiedBy>
  <cp:revision>2</cp:revision>
  <cp:lastPrinted>2017-04-05T00:14:00Z</cp:lastPrinted>
  <dcterms:created xsi:type="dcterms:W3CDTF">2017-04-26T18:44:00Z</dcterms:created>
  <dcterms:modified xsi:type="dcterms:W3CDTF">2017-04-26T18:44:00Z</dcterms:modified>
</cp:coreProperties>
</file>