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BE" w:rsidRDefault="000D20BE" w:rsidP="00390928">
      <w:pPr>
        <w:tabs>
          <w:tab w:val="right" w:pos="5933"/>
        </w:tabs>
        <w:suppressAutoHyphens/>
      </w:pPr>
      <w:r>
        <w:t>COMMITTEE AMENDMENT ADOPTED</w:t>
      </w:r>
    </w:p>
    <w:p w:rsidR="000D20BE" w:rsidRDefault="000D20BE" w:rsidP="00390928">
      <w:pPr>
        <w:tabs>
          <w:tab w:val="right" w:pos="5933"/>
        </w:tabs>
        <w:suppressAutoHyphens/>
      </w:pPr>
      <w:r>
        <w:t>April 26, 2018</w:t>
      </w:r>
    </w:p>
    <w:p w:rsidR="000D20BE" w:rsidRDefault="000D20BE" w:rsidP="00390928">
      <w:pPr>
        <w:tabs>
          <w:tab w:val="right" w:pos="5933"/>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44885" w:rsidP="004B1A77">
      <w:pPr>
        <w:tabs>
          <w:tab w:val="right" w:pos="5933"/>
        </w:tabs>
        <w:suppressAutoHyphens/>
      </w:pPr>
      <w:r>
        <w:t>S. Printed 4/26</w:t>
      </w:r>
      <w:r w:rsidR="00390928">
        <w:t>/18--S.</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COMMITTEE AMENDMENT ADOPTED</w:t>
      </w:r>
    </w:p>
    <w:p w:rsidR="000D20BE"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D20BE"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E1E37"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995AFD"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000E1E37" w:rsidRPr="000E1E37">
        <w:rPr>
          <w:color w:val="000000" w:themeColor="text1"/>
          <w:u w:color="000000" w:themeColor="text1"/>
        </w:rPr>
        <w:t>Section 11</w:t>
      </w:r>
      <w:r w:rsidR="000E1E37" w:rsidRPr="000E1E37">
        <w:rPr>
          <w:color w:val="000000" w:themeColor="text1"/>
          <w:u w:color="000000" w:themeColor="text1"/>
        </w:rPr>
        <w:noBreakHyphen/>
        <w:t>9</w:t>
      </w:r>
      <w:r w:rsidR="000E1E37" w:rsidRPr="000E1E37">
        <w:rPr>
          <w:color w:val="000000" w:themeColor="text1"/>
          <w:u w:color="000000" w:themeColor="text1"/>
        </w:rPr>
        <w:noBreakHyphen/>
        <w:t>850.</w:t>
      </w:r>
      <w:r w:rsidR="000E1E37" w:rsidRPr="000E1E37">
        <w:rPr>
          <w:color w:val="000000" w:themeColor="text1"/>
          <w:u w:color="000000" w:themeColor="text1"/>
        </w:rPr>
        <w:tab/>
      </w:r>
      <w:r w:rsidR="000E1E37" w:rsidRPr="000E1E37">
        <w:rPr>
          <w:strike/>
          <w:color w:val="000000" w:themeColor="text1"/>
          <w:u w:color="000000" w:themeColor="text1"/>
        </w:rPr>
        <w:t>(A)</w:t>
      </w:r>
      <w:r w:rsidR="000E1E37" w:rsidRPr="000E1E37">
        <w:rPr>
          <w:color w:val="000000" w:themeColor="text1"/>
          <w:u w:color="000000" w:themeColor="text1"/>
        </w:rPr>
        <w:tab/>
      </w:r>
      <w:r w:rsidR="000E1E37" w:rsidRPr="000E1E37">
        <w:rPr>
          <w:strike/>
          <w:color w:val="000000" w:themeColor="text1"/>
          <w:u w:color="000000" w:themeColor="text1"/>
        </w:rPr>
        <w:t>The Office of Research and Statistics must be comprised of an Economic Research division and an Office of Precinct Demographics division.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r>
      <w:r w:rsidRPr="000E1E37">
        <w:rPr>
          <w:strike/>
          <w:color w:val="000000" w:themeColor="text1"/>
          <w:u w:color="000000" w:themeColor="text1"/>
        </w:rPr>
        <w:t>(B</w:t>
      </w:r>
      <w:r w:rsidRPr="000E1E37">
        <w:rPr>
          <w:color w:val="000000" w:themeColor="text1"/>
          <w:u w:color="000000" w:themeColor="text1"/>
        </w:rPr>
        <w:t>)</w:t>
      </w:r>
      <w:r w:rsidRPr="000E1E37">
        <w:rPr>
          <w:color w:val="000000" w:themeColor="text1"/>
          <w:u w:color="000000" w:themeColor="text1"/>
        </w:rPr>
        <w:tab/>
      </w:r>
      <w:r w:rsidRPr="000E1E37">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1E37">
        <w:rPr>
          <w:color w:val="000000" w:themeColor="text1"/>
          <w:u w:color="000000" w:themeColor="text1"/>
        </w:rPr>
        <w:tab/>
      </w:r>
      <w:r w:rsidRPr="000E1E37">
        <w:rPr>
          <w:strike/>
          <w:color w:val="000000" w:themeColor="text1"/>
          <w:u w:color="000000" w:themeColor="text1"/>
        </w:rPr>
        <w:t>(C)</w:t>
      </w:r>
      <w:r w:rsidRPr="000E1E37">
        <w:rPr>
          <w:color w:val="000000" w:themeColor="text1"/>
          <w:u w:color="000000" w:themeColor="text1"/>
        </w:rPr>
        <w:tab/>
      </w:r>
      <w:r w:rsidRPr="000E1E37">
        <w:rPr>
          <w:strike/>
          <w:color w:val="000000" w:themeColor="text1"/>
          <w:u w:color="000000" w:themeColor="text1"/>
        </w:rPr>
        <w:t>The Office of Precinct Demographics shall:</w:t>
      </w:r>
      <w:r w:rsidRPr="000E1E37">
        <w:rPr>
          <w:color w:val="000000" w:themeColor="text1"/>
          <w:u w:color="000000" w:themeColor="text1"/>
        </w:rPr>
        <w:t xml:space="preserve"> </w:t>
      </w:r>
      <w:r w:rsidRPr="000E1E37">
        <w:rPr>
          <w:color w:val="000000" w:themeColor="text1"/>
          <w:u w:val="single" w:color="000000" w:themeColor="text1"/>
        </w:rPr>
        <w:t>The Revenue and Fiscal Affairs Office must be comprised of a Digital Cartography and Precinct Demographics section, which shall report directly to the Executive Director and be identited as a distinct programmatic unit with the office’s budget in the annual general appropriations act.  The Digital Cartography and Precinct Demographics section shall:</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(1)</w:t>
      </w:r>
      <w:r w:rsidRPr="000E1E37">
        <w:rPr>
          <w:color w:val="000000" w:themeColor="text1"/>
          <w:u w:color="000000" w:themeColor="text1"/>
        </w:rPr>
        <w:tab/>
        <w:t>review existing precinct boundaries and maps for accuracy and develop and rewrite descriptions of precincts for submission to the legislative process;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(2)</w:t>
      </w:r>
      <w:r w:rsidRPr="000E1E37">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(3)</w:t>
      </w:r>
      <w:r w:rsidRPr="000E1E37">
        <w:rPr>
          <w:color w:val="000000" w:themeColor="text1"/>
          <w:u w:color="000000" w:themeColor="text1"/>
        </w:rPr>
        <w:tab/>
        <w:t>develop a system for originating and maintaining precinct maps and related data for the State;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(4)</w:t>
      </w:r>
      <w:r w:rsidRPr="000E1E37">
        <w:rPr>
          <w:color w:val="000000" w:themeColor="text1"/>
          <w:u w:color="000000" w:themeColor="text1"/>
        </w:rPr>
        <w:tab/>
        <w:t>represent the General Assembly at public meetings</w:t>
      </w:r>
      <w:r w:rsidRPr="000E1E37">
        <w:rPr>
          <w:strike/>
          <w:color w:val="000000" w:themeColor="text1"/>
          <w:u w:color="000000" w:themeColor="text1"/>
        </w:rPr>
        <w:t>, meetings with members of the General Assembly,</w:t>
      </w:r>
      <w:r w:rsidRPr="000E1E37">
        <w:rPr>
          <w:color w:val="000000" w:themeColor="text1"/>
          <w:u w:color="000000" w:themeColor="text1"/>
        </w:rPr>
        <w:t xml:space="preserve">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(5)</w:t>
      </w:r>
      <w:r w:rsidRPr="000E1E37">
        <w:rPr>
          <w:color w:val="000000" w:themeColor="text1"/>
          <w:u w:color="000000" w:themeColor="text1"/>
        </w:rPr>
        <w:tab/>
      </w:r>
      <w:r w:rsidRPr="000E1E37">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(6)</w:t>
      </w:r>
      <w:r w:rsidRPr="000E1E37">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(6)</w:t>
      </w:r>
      <w:r w:rsidRPr="000E1E37">
        <w:rPr>
          <w:color w:val="000000" w:themeColor="text1"/>
          <w:u w:val="single" w:color="000000" w:themeColor="text1"/>
        </w:rPr>
        <w:t>(7)</w:t>
      </w:r>
      <w:r w:rsidRPr="000E1E37">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0E1E37">
        <w:rPr>
          <w:strike/>
          <w:color w:val="000000" w:themeColor="text1"/>
          <w:u w:color="000000" w:themeColor="text1"/>
        </w:rPr>
        <w:t>and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(7)</w:t>
      </w:r>
      <w:r w:rsidRPr="000E1E37">
        <w:rPr>
          <w:color w:val="000000" w:themeColor="text1"/>
          <w:u w:val="single" w:color="000000" w:themeColor="text1"/>
        </w:rPr>
        <w:t>(8)</w:t>
      </w:r>
      <w:r w:rsidRPr="000E1E37">
        <w:rPr>
          <w:color w:val="000000" w:themeColor="text1"/>
          <w:u w:color="000000" w:themeColor="text1"/>
        </w:rPr>
        <w:tab/>
        <w:t>serve as a focal point for verifying official precinct information for the counties of South Carolina</w:t>
      </w:r>
      <w:r w:rsidRPr="000E1E37">
        <w:rPr>
          <w:color w:val="000000" w:themeColor="text1"/>
          <w:u w:val="single" w:color="000000" w:themeColor="text1"/>
        </w:rPr>
        <w:t>; and</w:t>
      </w: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(9)</w:t>
      </w:r>
      <w:r w:rsidRPr="000E1E37">
        <w:rPr>
          <w:color w:val="000000" w:themeColor="text1"/>
          <w:u w:color="000000" w:themeColor="text1"/>
        </w:rPr>
        <w:tab/>
      </w:r>
      <w:r w:rsidRPr="000E1E37">
        <w:rPr>
          <w:color w:val="000000" w:themeColor="text1"/>
          <w:u w:val="single" w:color="000000" w:themeColor="text1"/>
        </w:rPr>
        <w:t>consult with and provide assistance to the General Assembly on redistricting and reapportionment matters relating to any subdivision of the State</w:t>
      </w:r>
      <w:r w:rsidRPr="000E1E37">
        <w:rPr>
          <w:color w:val="000000" w:themeColor="text1"/>
          <w:u w:color="000000" w:themeColor="text1"/>
        </w:rPr>
        <w:t>.</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The board shall unanimously select an Executive Director of the Revenue and Fiscal 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w:t>
      </w:r>
      <w:r w:rsidRPr="00CA3B5A">
        <w:rPr>
          <w:color w:val="000000" w:themeColor="text1"/>
          <w:u w:color="000000" w:themeColor="text1"/>
        </w:rPr>
        <w:lastRenderedPageBreak/>
        <w:t xml:space="preserve">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w:t>
      </w:r>
      <w:r w:rsidRPr="00CA3B5A">
        <w:rPr>
          <w:color w:val="000000" w:themeColor="text1"/>
          <w:u w:color="000000" w:themeColor="text1"/>
        </w:rPr>
        <w:lastRenderedPageBreak/>
        <w:t>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B.</w:t>
      </w:r>
      <w:r w:rsidRPr="000E1E37">
        <w:rPr>
          <w:color w:val="000000" w:themeColor="text1"/>
          <w:u w:color="000000" w:themeColor="text1"/>
        </w:rPr>
        <w:tab/>
        <w:t xml:space="preserve">  Section 2</w:t>
      </w:r>
      <w:r w:rsidRPr="000E1E37">
        <w:rPr>
          <w:color w:val="000000" w:themeColor="text1"/>
          <w:u w:color="000000" w:themeColor="text1"/>
        </w:rPr>
        <w:noBreakHyphen/>
        <w:t>7</w:t>
      </w:r>
      <w:r w:rsidRPr="000E1E37">
        <w:rPr>
          <w:color w:val="000000" w:themeColor="text1"/>
          <w:u w:color="000000" w:themeColor="text1"/>
        </w:rPr>
        <w:noBreakHyphen/>
        <w:t>73(A) of the 1976 Code is amended to read: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t>“(A)</w:t>
      </w:r>
      <w:r w:rsidRPr="000E1E37">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0E1E37">
        <w:rPr>
          <w:strike/>
          <w:color w:val="000000" w:themeColor="text1"/>
          <w:u w:color="000000" w:themeColor="text1"/>
        </w:rPr>
        <w:t>and signed by an authorized agent of the Department of Insurance, or his designee.</w:t>
      </w:r>
      <w:r w:rsidRPr="000E1E37">
        <w:rPr>
          <w:color w:val="000000" w:themeColor="text1"/>
          <w:u w:color="000000" w:themeColor="text1"/>
        </w:rPr>
        <w:t xml:space="preserve">  </w:t>
      </w:r>
      <w:r w:rsidRPr="000E1E37">
        <w:rPr>
          <w:color w:val="000000" w:themeColor="text1"/>
          <w:u w:val="single"/>
        </w:rPr>
        <w:t>The Department of Insurance shall provide an actuarial analysis and any additional information necessary for the determination of the fiscal impact within thirty days of a request by the Revenue and Fiscal Affairs Office.</w:t>
      </w:r>
      <w:r w:rsidRPr="000E1E37">
        <w:rPr>
          <w:color w:val="000000" w:themeColor="text1"/>
          <w:u w:color="000000" w:themeColor="text1"/>
        </w:rPr>
        <w:t xml:space="preserve">  The statement required by this section must be delivered to the Senate or House committee to which any bill or resolution is referred, within thirty days</w:t>
      </w:r>
      <w:r w:rsidRPr="000E1E37">
        <w:rPr>
          <w:color w:val="000000" w:themeColor="text1"/>
          <w:u w:val="single"/>
        </w:rPr>
        <w:t>, unless otherwise agreed to,</w:t>
      </w:r>
      <w:r w:rsidRPr="000E1E37">
        <w:rPr>
          <w:color w:val="000000" w:themeColor="text1"/>
          <w:u w:color="000000" w:themeColor="text1"/>
        </w:rPr>
        <w:t xml:space="preserve"> of the written request of the chairman of such committee.”</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C.</w:t>
      </w:r>
      <w:r w:rsidRPr="000E1E37">
        <w:rPr>
          <w:color w:val="000000" w:themeColor="text1"/>
          <w:u w:color="000000" w:themeColor="text1"/>
        </w:rPr>
        <w:tab/>
      </w:r>
      <w:r w:rsidR="000E1E37" w:rsidRPr="000E1E37">
        <w:rPr>
          <w:color w:val="000000" w:themeColor="text1"/>
          <w:u w:color="000000" w:themeColor="text1"/>
        </w:rPr>
        <w:t xml:space="preserve">  </w:t>
      </w:r>
      <w:r w:rsidRPr="000E1E37">
        <w:rPr>
          <w:color w:val="000000" w:themeColor="text1"/>
          <w:u w:color="000000" w:themeColor="text1"/>
        </w:rPr>
        <w:t>Section 2</w:t>
      </w:r>
      <w:r w:rsidRPr="000E1E37">
        <w:rPr>
          <w:color w:val="000000" w:themeColor="text1"/>
          <w:u w:color="000000" w:themeColor="text1"/>
        </w:rPr>
        <w:noBreakHyphen/>
        <w:t>7</w:t>
      </w:r>
      <w:r w:rsidRPr="000E1E37">
        <w:rPr>
          <w:color w:val="000000" w:themeColor="text1"/>
          <w:u w:color="000000" w:themeColor="text1"/>
        </w:rPr>
        <w:noBreakHyphen/>
        <w:t>78 of the 1976 Code is amended to read:</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t>“Section 2</w:t>
      </w:r>
      <w:r w:rsidRPr="000E1E37">
        <w:rPr>
          <w:color w:val="000000" w:themeColor="text1"/>
          <w:u w:color="000000" w:themeColor="text1"/>
        </w:rPr>
        <w:noBreakHyphen/>
        <w:t>7</w:t>
      </w:r>
      <w:r w:rsidRPr="000E1E37">
        <w:rPr>
          <w:color w:val="000000" w:themeColor="text1"/>
          <w:u w:color="000000" w:themeColor="text1"/>
        </w:rPr>
        <w:noBreakHyphen/>
        <w:t>78.</w:t>
      </w:r>
      <w:r w:rsidRPr="000E1E37">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0E1E37">
        <w:rPr>
          <w:strike/>
          <w:color w:val="000000" w:themeColor="text1"/>
          <w:u w:color="000000" w:themeColor="text1"/>
        </w:rPr>
        <w:t>board</w:t>
      </w:r>
      <w:r w:rsidRPr="000E1E37">
        <w:rPr>
          <w:color w:val="000000" w:themeColor="text1"/>
          <w:u w:color="000000" w:themeColor="text1"/>
        </w:rPr>
        <w:t xml:space="preserve"> </w:t>
      </w:r>
      <w:r w:rsidRPr="000E1E37">
        <w:rPr>
          <w:color w:val="000000" w:themeColor="text1"/>
          <w:u w:val="single" w:color="000000" w:themeColor="text1"/>
        </w:rPr>
        <w:t>Executive Director of the Revenue and Fiscal Affairs Office, or his designee</w:t>
      </w:r>
      <w:r w:rsidRPr="000E1E37">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w:t>
      </w:r>
      <w:r w:rsidRPr="00CA3B5A">
        <w:rPr>
          <w:color w:val="000000" w:themeColor="text1"/>
          <w:u w:color="000000" w:themeColor="text1"/>
        </w:rPr>
        <w:lastRenderedPageBreak/>
        <w:t>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w:t>
      </w:r>
      <w:r w:rsidR="000D20BE" w:rsidRPr="00B84DB8">
        <w:rPr>
          <w:color w:val="000000" w:themeColor="text1"/>
          <w:u w:color="000000" w:themeColor="text1"/>
        </w:rPr>
        <w:t xml:space="preserve">Fiscal Affairs Office to the Comptroller General </w:t>
      </w:r>
      <w:r w:rsidR="000D20BE" w:rsidRPr="00B84DB8">
        <w:rPr>
          <w:color w:val="000000" w:themeColor="text1"/>
          <w:u w:val="single"/>
        </w:rPr>
        <w:t xml:space="preserve">and the </w:t>
      </w:r>
      <w:r w:rsidR="000D20BE" w:rsidRPr="00B84DB8">
        <w:rPr>
          <w:color w:val="000000" w:themeColor="text1"/>
          <w:u w:val="single" w:color="000000" w:themeColor="text1"/>
        </w:rPr>
        <w:t>State Treasurer</w:t>
      </w:r>
      <w:r w:rsidR="000D20BE" w:rsidRPr="00B84DB8">
        <w:rPr>
          <w:color w:val="000000" w:themeColor="text1"/>
          <w:u w:color="000000" w:themeColor="text1"/>
        </w:rPr>
        <w:t xml:space="preserve"> that </w:t>
      </w:r>
      <w:r w:rsidRPr="00CA3B5A">
        <w:rPr>
          <w:color w:val="000000" w:themeColor="text1"/>
          <w:u w:color="000000" w:themeColor="text1"/>
        </w:rPr>
        <w:t>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 xml:space="preserve">The South Carolina 911 Advisory Committee is created to assist the Revenue and Fiscal Affairs Office in carrying out its responsibilities in implementing a wireless enhanced 911 system </w:t>
      </w:r>
      <w:r w:rsidRPr="00CA3B5A">
        <w:rPr>
          <w:color w:val="000000" w:themeColor="text1"/>
          <w:u w:color="000000" w:themeColor="text1"/>
        </w:rPr>
        <w:lastRenderedPageBreak/>
        <w:t>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 xml:space="preserve">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w:t>
      </w:r>
      <w:r w:rsidRPr="00CA3B5A">
        <w:rPr>
          <w:color w:val="000000" w:themeColor="text1"/>
          <w:u w:color="000000" w:themeColor="text1"/>
        </w:rPr>
        <w:lastRenderedPageBreak/>
        <w:t>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lastRenderedPageBreak/>
        <w:t>B.</w:t>
      </w:r>
      <w:r w:rsidRPr="00B84DB8">
        <w:rPr>
          <w:color w:val="000000" w:themeColor="text1"/>
          <w:u w:color="000000" w:themeColor="text1"/>
        </w:rPr>
        <w:tab/>
      </w:r>
      <w:r w:rsidR="000E1E37">
        <w:rPr>
          <w:color w:val="000000" w:themeColor="text1"/>
          <w:u w:color="000000" w:themeColor="text1"/>
        </w:rPr>
        <w:t xml:space="preserve">  </w:t>
      </w:r>
      <w:r w:rsidRPr="00B84DB8">
        <w:rPr>
          <w:color w:val="000000" w:themeColor="text1"/>
          <w:u w:color="000000" w:themeColor="text1"/>
        </w:rPr>
        <w:t>Section 44</w:t>
      </w:r>
      <w:r w:rsidRPr="00B84DB8">
        <w:rPr>
          <w:color w:val="000000" w:themeColor="text1"/>
          <w:u w:color="000000" w:themeColor="text1"/>
        </w:rPr>
        <w:noBreakHyphen/>
        <w:t>6</w:t>
      </w:r>
      <w:r w:rsidRPr="00B84DB8">
        <w:rPr>
          <w:color w:val="000000" w:themeColor="text1"/>
          <w:u w:color="000000" w:themeColor="text1"/>
        </w:rPr>
        <w:noBreakHyphen/>
        <w:t>170(H) of the 1976 Code is amended to read:</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tab/>
        <w:t>“(H)</w:t>
      </w:r>
      <w:r w:rsidRPr="00B84DB8">
        <w:rPr>
          <w:color w:val="000000" w:themeColor="text1"/>
          <w:u w:color="000000" w:themeColor="text1"/>
        </w:rPr>
        <w:tab/>
        <w:t xml:space="preserve">If a provider fails to submit the health care data as required by this section </w:t>
      </w:r>
      <w:r w:rsidRPr="00B84DB8">
        <w:rPr>
          <w:strike/>
          <w:color w:val="000000" w:themeColor="text1"/>
          <w:u w:color="000000" w:themeColor="text1"/>
        </w:rPr>
        <w:t>or Section 44</w:t>
      </w:r>
      <w:r w:rsidRPr="00B84DB8">
        <w:rPr>
          <w:strike/>
          <w:color w:val="000000" w:themeColor="text1"/>
          <w:u w:color="000000" w:themeColor="text1"/>
        </w:rPr>
        <w:noBreakHyphen/>
        <w:t>6</w:t>
      </w:r>
      <w:r w:rsidRPr="00B84DB8">
        <w:rPr>
          <w:strike/>
          <w:color w:val="000000" w:themeColor="text1"/>
          <w:u w:color="000000" w:themeColor="text1"/>
        </w:rPr>
        <w:noBreakHyphen/>
        <w:t>175</w:t>
      </w:r>
      <w:r w:rsidRPr="00B84DB8">
        <w:rPr>
          <w:color w:val="000000" w:themeColor="text1"/>
          <w:u w:color="000000" w:themeColor="text1"/>
        </w:rPr>
        <w:t xml:space="preserve"> or regulations promulgated pursuant to </w:t>
      </w:r>
      <w:r w:rsidRPr="00B84DB8">
        <w:rPr>
          <w:strike/>
          <w:color w:val="000000" w:themeColor="text1"/>
          <w:u w:color="000000" w:themeColor="text1"/>
        </w:rPr>
        <w:t>those sections</w:t>
      </w:r>
      <w:r w:rsidRPr="00B84DB8">
        <w:rPr>
          <w:color w:val="000000" w:themeColor="text1"/>
          <w:u w:color="000000" w:themeColor="text1"/>
        </w:rPr>
        <w:t xml:space="preserve"> </w:t>
      </w:r>
      <w:r w:rsidRPr="00B84DB8">
        <w:rPr>
          <w:color w:val="000000" w:themeColor="text1"/>
          <w:u w:val="single" w:color="000000" w:themeColor="text1"/>
        </w:rPr>
        <w:t>this section</w:t>
      </w:r>
      <w:r w:rsidRPr="00B84DB8">
        <w:rPr>
          <w:color w:val="000000" w:themeColor="text1"/>
          <w:u w:color="000000" w:themeColor="text1"/>
        </w:rPr>
        <w:t xml:space="preserve">, the </w:t>
      </w:r>
      <w:r w:rsidRPr="00B84DB8">
        <w:rPr>
          <w:strike/>
          <w:color w:val="000000" w:themeColor="text1"/>
          <w:u w:color="000000" w:themeColor="text1"/>
        </w:rPr>
        <w:t>Office of Research and Statistics</w:t>
      </w:r>
      <w:r w:rsidRPr="00B84DB8">
        <w:rPr>
          <w:color w:val="000000" w:themeColor="text1"/>
          <w:u w:color="000000" w:themeColor="text1"/>
        </w:rPr>
        <w:t xml:space="preserve"> </w:t>
      </w:r>
      <w:r w:rsidRPr="00B84DB8">
        <w:rPr>
          <w:color w:val="000000" w:themeColor="text1"/>
          <w:u w:val="single" w:color="000000" w:themeColor="text1"/>
        </w:rPr>
        <w:t>office</w:t>
      </w:r>
      <w:r w:rsidRPr="00B84DB8">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r>
      <w:r w:rsidR="000E1E37">
        <w:rPr>
          <w:color w:val="000000" w:themeColor="text1"/>
          <w:u w:color="000000" w:themeColor="text1"/>
        </w:rPr>
        <w:t xml:space="preserve">  </w:t>
      </w:r>
      <w:r w:rsidRPr="00CA3B5A">
        <w:rPr>
          <w:color w:val="000000" w:themeColor="text1"/>
          <w:u w:color="000000" w:themeColor="text1"/>
        </w:rPr>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78DE" w:rsidRDefault="007A78DE" w:rsidP="007A78DE">
      <w:pPr>
        <w:suppressAutoHyphens/>
      </w:pPr>
    </w:p>
    <w:sectPr w:rsidR="007A78DE"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11941D-D76F-4CCC-BA8E-7B046527FE0C}"/>
    <w:embedBold r:id="rId2" w:fontKey="{E4C09673-8D13-4530-A00B-1A2E66E3182B}"/>
  </w:font>
  <w:font w:name="Calibri">
    <w:panose1 w:val="020F0502020204030204"/>
    <w:charset w:val="00"/>
    <w:family w:val="swiss"/>
    <w:pitch w:val="variable"/>
    <w:sig w:usb0="E00002FF" w:usb1="4000ACFF" w:usb2="00000001" w:usb3="00000000" w:csb0="0000019F" w:csb1="00000000"/>
    <w:embedRegular r:id="rId3" w:fontKey="{99E351A5-304E-498D-93F8-6BD03C0164B0}"/>
  </w:font>
  <w:font w:name="Cambria">
    <w:panose1 w:val="02040503050406030204"/>
    <w:charset w:val="00"/>
    <w:family w:val="roman"/>
    <w:pitch w:val="variable"/>
    <w:sig w:usb0="E00002FF" w:usb1="400004FF" w:usb2="00000000" w:usb3="00000000" w:csb0="0000019F" w:csb1="00000000"/>
    <w:embedRegular r:id="rId4" w:fontKey="{FF840583-6AC0-48AD-8A18-3581B01F5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7A78DE">
      <w:rPr>
        <w:noProof/>
      </w:rPr>
      <w:t>1</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7A78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D20BE"/>
    <w:rsid w:val="000E0100"/>
    <w:rsid w:val="000E1785"/>
    <w:rsid w:val="000E1E37"/>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90928"/>
    <w:rsid w:val="003C4DAB"/>
    <w:rsid w:val="003D01E8"/>
    <w:rsid w:val="003E5288"/>
    <w:rsid w:val="003F6D79"/>
    <w:rsid w:val="0041760A"/>
    <w:rsid w:val="00417C01"/>
    <w:rsid w:val="004403BD"/>
    <w:rsid w:val="00461441"/>
    <w:rsid w:val="00470375"/>
    <w:rsid w:val="004809EE"/>
    <w:rsid w:val="00491E37"/>
    <w:rsid w:val="004B1A7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7A78DE"/>
    <w:rsid w:val="008362E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741D"/>
    <w:rsid w:val="00AB1D80"/>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735B2-500D-4576-811F-407E7BEB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936DC04C</Template>
  <TotalTime>0</TotalTime>
  <Pages>16</Pages>
  <Words>5030</Words>
  <Characters>27366</Characters>
  <Application>Microsoft Office Word</Application>
  <DocSecurity>0</DocSecurity>
  <Lines>636</Lines>
  <Paragraphs>134</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(Apr. 26, 2018) - South Carolina Legislature Online</dc:title>
  <dc:creator>angiemorgan</dc:creator>
  <cp:lastModifiedBy>David Brunson</cp:lastModifiedBy>
  <cp:revision>2</cp:revision>
  <cp:lastPrinted>2017-03-07T14:24:00Z</cp:lastPrinted>
  <dcterms:created xsi:type="dcterms:W3CDTF">2018-04-26T18:21:00Z</dcterms:created>
  <dcterms:modified xsi:type="dcterms:W3CDTF">2018-04-26T18:21:00Z</dcterms:modified>
</cp:coreProperties>
</file>