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right" w:pos="5933"/>
        </w:tabs>
        <w:suppressAutoHyphens/>
      </w:pPr>
      <w:r>
        <w:tab/>
      </w:r>
      <w:r>
        <w:rPr>
          <w:b/>
          <w:sz w:val="36"/>
        </w:rPr>
        <w:t>H. 4009</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4009) </w:t>
      </w:r>
      <w:r w:rsidRPr="00E6115A">
        <w:rPr>
          <w:color w:val="000000" w:themeColor="text1"/>
          <w:u w:color="000000" w:themeColor="text1"/>
        </w:rPr>
        <w:t>to amend the Code of Laws of South Carolina, 1976, by adding Chapter 69 to Title 12 so as to enact the ‘Motorsports Entertainment Complex Investment Act’</w:t>
      </w:r>
      <w:r>
        <w:t>, etc., respectfully</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04A1A">
        <w:rPr>
          <w:snapToGrid w:val="0"/>
        </w:rPr>
        <w:t>s</w:t>
      </w:r>
      <w:r w:rsidRPr="00D04A1A">
        <w:rPr>
          <w:snapToGrid w:val="0"/>
        </w:rPr>
        <w:tab/>
        <w:t>Amend the bill, as and if amended, beginning on page 3, by striking line 38 through line 10 on page 4, and inserting:</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04A1A">
        <w:rPr>
          <w:snapToGrid w:val="0"/>
        </w:rPr>
        <w:t>/</w:t>
      </w:r>
      <w:r w:rsidRPr="00D04A1A">
        <w:rPr>
          <w:snapToGrid w:val="0"/>
        </w:rPr>
        <w:tab/>
      </w:r>
      <w:r w:rsidRPr="00D04A1A">
        <w:rPr>
          <w:u w:color="000000" w:themeColor="text1"/>
        </w:rPr>
        <w:t>SECTION</w:t>
      </w:r>
      <w:r w:rsidRPr="00D04A1A">
        <w:rPr>
          <w:u w:color="000000" w:themeColor="text1"/>
        </w:rPr>
        <w:tab/>
        <w:t>2.</w:t>
      </w:r>
      <w:r w:rsidRPr="00D04A1A">
        <w:rPr>
          <w:u w:color="000000" w:themeColor="text1"/>
        </w:rPr>
        <w:tab/>
        <w:t>A.</w:t>
      </w:r>
      <w:r w:rsidRPr="00D04A1A">
        <w:rPr>
          <w:u w:color="000000" w:themeColor="text1"/>
        </w:rPr>
        <w:tab/>
      </w:r>
      <w:r w:rsidRPr="00D04A1A">
        <w:rPr>
          <w:u w:color="000000" w:themeColor="text1"/>
        </w:rPr>
        <w:tab/>
        <w:t>Section 12</w:t>
      </w:r>
      <w:r w:rsidRPr="00D04A1A">
        <w:rPr>
          <w:u w:color="000000" w:themeColor="text1"/>
        </w:rPr>
        <w:noBreakHyphen/>
        <w:t>6</w:t>
      </w:r>
      <w:r w:rsidRPr="00D04A1A">
        <w:rPr>
          <w:u w:color="000000" w:themeColor="text1"/>
        </w:rPr>
        <w:noBreakHyphen/>
        <w:t>3585(A), (E), and (F) of the 1976 Code are amended to read:</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“(A)</w:t>
      </w:r>
      <w:r w:rsidRPr="00D04A1A">
        <w:rPr>
          <w:u w:color="000000" w:themeColor="text1"/>
        </w:rPr>
        <w:tab/>
      </w:r>
      <w:r w:rsidRPr="00D04A1A">
        <w:rPr>
          <w:u w:val="single" w:color="000000" w:themeColor="text1"/>
        </w:rPr>
        <w:t>For each tax year beginning after 2017,</w:t>
      </w:r>
      <w:r w:rsidRPr="00D04A1A">
        <w:rPr>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Pr="00D04A1A">
        <w:rPr>
          <w:u w:color="000000" w:themeColor="text1"/>
        </w:rPr>
        <w:noBreakHyphen/>
        <w:t>designated affiliate, or both, pursuant to Section 13</w:t>
      </w:r>
      <w:r w:rsidRPr="00D04A1A">
        <w:rPr>
          <w:u w:color="000000" w:themeColor="text1"/>
        </w:rPr>
        <w:noBreakHyphen/>
        <w:t>17</w:t>
      </w:r>
      <w:r w:rsidRPr="00D04A1A">
        <w:rPr>
          <w:u w:color="000000" w:themeColor="text1"/>
        </w:rPr>
        <w:noBreakHyphen/>
        <w:t>88(E), up to a maximum credit of</w:t>
      </w:r>
      <w:r w:rsidRPr="00D04A1A">
        <w:rPr>
          <w:strike/>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w:t>
      </w:r>
      <w:r w:rsidRPr="00D04A1A">
        <w:rPr>
          <w:strike/>
          <w:u w:color="000000" w:themeColor="text1"/>
        </w:rPr>
        <w:lastRenderedPageBreak/>
        <w:t>2007; and up to a maximum credit of two million dollars for a single taxpayer, not to exceed an aggregate credit of six million dollars for all taxpayers for each tax year beginning after December 31, 2007</w:t>
      </w:r>
      <w:r w:rsidRPr="00D04A1A">
        <w:rPr>
          <w:u w:color="000000" w:themeColor="text1"/>
        </w:rPr>
        <w:t xml:space="preserve"> </w:t>
      </w:r>
      <w:r w:rsidRPr="00D04A1A">
        <w:rPr>
          <w:u w:val="single" w:color="000000" w:themeColor="text1"/>
        </w:rPr>
        <w:t>two hundred fifty thousand dollars for a single taxpayer, not to exceed an aggregate credit of twelve million dollars for all taxpayers</w:t>
      </w:r>
      <w:r w:rsidRPr="00D04A1A">
        <w:rPr>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(E)</w:t>
      </w:r>
      <w:r w:rsidRPr="00D04A1A">
        <w:rPr>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D04A1A">
        <w:rPr>
          <w:u w:val="single" w:color="000000" w:themeColor="text1"/>
        </w:rPr>
        <w:t>However, for purposes of this section, any member of the SCRA board of trustees or the SC Launch!, Inc. board of directors is not considered a taxpayer, and may not claim the credit allowed by this section.</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(F)</w:t>
      </w:r>
      <w:r w:rsidRPr="00D04A1A">
        <w:rPr>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D04A1A">
        <w:rPr>
          <w:u w:val="single" w:color="000000" w:themeColor="text1"/>
        </w:rPr>
        <w:t>Also, to qualify for the credit, a taxpayer who is certified by SCRA under subsection (A) as having priority entitlement to the credit for an applicable year must make a commitment satisfactory to SCRA, at such time as SCRA deems appropriate but not later than April first of such year, to make the contribution during such year.</w:t>
      </w:r>
      <w:r w:rsidRPr="00D04A1A">
        <w:rPr>
          <w:u w:color="000000" w:themeColor="text1"/>
        </w:rPr>
        <w:t>”</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B.</w:t>
      </w:r>
      <w:r w:rsidRPr="00D04A1A">
        <w:rPr>
          <w:u w:color="000000" w:themeColor="text1"/>
        </w:rPr>
        <w:tab/>
        <w:t>Notwithstanding the increase in the annual maximum credit amount for all taxpayers from six million dollars to twelve million dollars in Section 12</w:t>
      </w:r>
      <w:r w:rsidRPr="00D04A1A">
        <w:rPr>
          <w:u w:color="000000" w:themeColor="text1"/>
        </w:rPr>
        <w:noBreakHyphen/>
        <w:t>6</w:t>
      </w:r>
      <w:r w:rsidRPr="00D04A1A">
        <w:rPr>
          <w:u w:color="000000" w:themeColor="text1"/>
        </w:rPr>
        <w:noBreakHyphen/>
        <w:t>3585, as amended by this SECTION, the increased maximum credit amount must be phased in in two equal and cumulative installment amounts beginning in tax years beginning after 2017.</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C.</w:t>
      </w:r>
      <w:r w:rsidRPr="00D04A1A">
        <w:rPr>
          <w:u w:color="000000" w:themeColor="text1"/>
        </w:rPr>
        <w:tab/>
        <w:t>This SECTION takes effect upon approval by the Governor and applies to tax years beginning after 2017, except that the amendment to Section 12</w:t>
      </w:r>
      <w:r w:rsidRPr="00D04A1A">
        <w:rPr>
          <w:u w:color="000000" w:themeColor="text1"/>
        </w:rPr>
        <w:noBreakHyphen/>
        <w:t>6</w:t>
      </w:r>
      <w:r w:rsidRPr="00D04A1A">
        <w:rPr>
          <w:u w:color="000000" w:themeColor="text1"/>
        </w:rPr>
        <w:noBreakHyphen/>
        <w:t>3585(F) shall not take effect until January 1, 2019.</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04A1A">
        <w:rPr>
          <w:u w:color="000000" w:themeColor="text1"/>
        </w:rPr>
        <w:t>SECTION</w:t>
      </w:r>
      <w:r w:rsidRPr="00D04A1A">
        <w:rPr>
          <w:u w:color="000000" w:themeColor="text1"/>
        </w:rPr>
        <w:tab/>
        <w:t>3.</w:t>
      </w:r>
      <w:r w:rsidRPr="00D04A1A">
        <w:rPr>
          <w:u w:color="000000" w:themeColor="text1"/>
        </w:rPr>
        <w:tab/>
        <w:t>A.</w:t>
      </w:r>
      <w:r w:rsidRPr="00D04A1A">
        <w:rPr>
          <w:u w:color="000000" w:themeColor="text1"/>
        </w:rPr>
        <w:tab/>
        <w:t>Section 12</w:t>
      </w:r>
      <w:r w:rsidRPr="00D04A1A">
        <w:rPr>
          <w:u w:color="000000" w:themeColor="text1"/>
        </w:rPr>
        <w:noBreakHyphen/>
        <w:t>6</w:t>
      </w:r>
      <w:r w:rsidRPr="00D04A1A">
        <w:rPr>
          <w:u w:color="000000" w:themeColor="text1"/>
        </w:rPr>
        <w:noBreakHyphen/>
        <w:t>3585 of the 1976 Code is amended by adding a subsection to read:</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4A1A">
        <w:rPr>
          <w:u w:color="000000" w:themeColor="text1"/>
        </w:rPr>
        <w:tab/>
        <w:t>“(J)</w:t>
      </w:r>
      <w:r w:rsidRPr="00D04A1A">
        <w:rPr>
          <w:u w:color="000000" w:themeColor="text1"/>
        </w:rPr>
        <w:tab/>
        <w:t>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4A1A">
        <w:rPr>
          <w:u w:color="000000" w:themeColor="text1"/>
        </w:rPr>
        <w:t>B.</w:t>
      </w:r>
      <w:r w:rsidRPr="00D04A1A">
        <w:rPr>
          <w:u w:color="000000" w:themeColor="text1"/>
        </w:rPr>
        <w:tab/>
        <w:t>This SECTION takes effect January 1, 2019.</w:t>
      </w:r>
      <w:r w:rsidRPr="00D04A1A">
        <w:rPr>
          <w:u w:color="000000" w:themeColor="text1"/>
        </w:rPr>
        <w:tab/>
      </w:r>
      <w:r w:rsidRPr="00D04A1A">
        <w:rPr>
          <w:u w:color="000000" w:themeColor="text1"/>
        </w:rPr>
        <w:tab/>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04A1A">
        <w:rPr>
          <w:snapToGrid w:val="0"/>
        </w:rPr>
        <w:t>SECTION</w:t>
      </w:r>
      <w:r w:rsidRPr="00D04A1A">
        <w:rPr>
          <w:snapToGrid w:val="0"/>
        </w:rPr>
        <w:tab/>
        <w:t>4.</w:t>
      </w:r>
      <w:r w:rsidRPr="00D04A1A">
        <w:rPr>
          <w:snapToGrid w:val="0"/>
        </w:rPr>
        <w:tab/>
        <w:t>Except where specified otherwise, this act takes effect upon approval by the Governor and applies to tax years beginning after 2017.</w:t>
      </w:r>
      <w:r w:rsidRPr="00D04A1A">
        <w:rPr>
          <w:snapToGrid w:val="0"/>
        </w:rPr>
        <w:tab/>
        <w:t>/</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A1A">
        <w:rPr>
          <w:snapToGrid w:val="0"/>
        </w:rPr>
        <w:tab/>
        <w:t>Renumber sections to conform.</w:t>
      </w:r>
    </w:p>
    <w:p w:rsid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4A1A">
        <w:rPr>
          <w:snapToGrid w:val="0"/>
        </w:rPr>
        <w:tab/>
        <w:t>Amend title to conform.</w:t>
      </w:r>
    </w:p>
    <w:p w:rsidR="00E6115A" w:rsidRPr="00D04A1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Pr="00E6115A" w:rsidRDefault="00E6115A" w:rsidP="00E6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6115A" w:rsidRPr="00375DDC" w:rsidRDefault="00E6115A" w:rsidP="00E6115A">
      <w:pPr>
        <w:rPr>
          <w:b/>
        </w:rPr>
      </w:pPr>
      <w:r w:rsidRPr="00375DDC">
        <w:rPr>
          <w:b/>
        </w:rPr>
        <w:t>Explanation of Fiscal Impact</w:t>
      </w:r>
    </w:p>
    <w:p w:rsidR="00E6115A" w:rsidRPr="00375DDC" w:rsidRDefault="00E6115A" w:rsidP="00E6115A">
      <w:pPr>
        <w:rPr>
          <w:b/>
        </w:rPr>
      </w:pPr>
      <w:r w:rsidRPr="00375DDC">
        <w:rPr>
          <w:b/>
        </w:rPr>
        <w:t>Amended on March 22, 2018 by House Ways and Means</w:t>
      </w:r>
    </w:p>
    <w:p w:rsidR="00E6115A" w:rsidRPr="0045460C" w:rsidRDefault="00E6115A" w:rsidP="00E6115A">
      <w:r w:rsidRPr="00375DDC">
        <w:rPr>
          <w:b/>
        </w:rPr>
        <w:t>State Expenditure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Department of Revenue indicates that there will be no expenditure impact to the </w:t>
      </w:r>
      <w:r>
        <w:rPr>
          <w:rFonts w:cs="Times New Roman"/>
          <w:sz w:val="22"/>
        </w:rPr>
        <w:t>general fund, federal funds, or other funds</w:t>
      </w:r>
      <w:r w:rsidRPr="0045460C">
        <w:rPr>
          <w:rFonts w:cs="Times New Roman"/>
          <w:sz w:val="22"/>
        </w:rPr>
        <w:t xml:space="preserve"> from this bill. The Department can administer the legislative changes with existing resources.</w:t>
      </w:r>
    </w:p>
    <w:p w:rsidR="00E6115A" w:rsidRPr="00375DDC" w:rsidRDefault="00E6115A" w:rsidP="00E6115A">
      <w:pPr>
        <w:rPr>
          <w:b/>
        </w:rPr>
      </w:pPr>
      <w:r w:rsidRPr="00375DDC">
        <w:rPr>
          <w:b/>
        </w:rPr>
        <w:t>State Reve</w:t>
      </w:r>
      <w:r>
        <w:rPr>
          <w:b/>
        </w:rPr>
        <w:t>n</w:t>
      </w:r>
      <w:r w:rsidRPr="00375DDC">
        <w:rPr>
          <w:b/>
        </w:rPr>
        <w:t>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House Ways and Means Committee amended the bill by striking all after the enacting words and inserting the following:</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1.</w:t>
      </w:r>
      <w:r w:rsidRPr="0045460C">
        <w:rPr>
          <w:rFonts w:cs="Times New Roman"/>
          <w:sz w:val="22"/>
        </w:rPr>
        <w:t xml:space="preserve"> This bill would add Chapter 69 to Title 12 and may be cited as the “Motorsports Entertainment Complex Investment Act”. A motorsports entertainment complex means a motorsports facility, and its ancillary grounds and facilities, that is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NASCAR-sanctioned motor speedway or racetrack that hosted at least one NASCAR Sprint Cup Series race in 2012, or any successor race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lastRenderedPageBreak/>
        <w:t></w:t>
      </w:r>
      <w:r w:rsidRPr="0045460C">
        <w:rPr>
          <w:rFonts w:ascii="Symbol" w:hAnsi="Symbol" w:cs="Times New Roman"/>
          <w:sz w:val="22"/>
        </w:rPr>
        <w:tab/>
      </w:r>
      <w:r w:rsidR="00E6115A" w:rsidRPr="0045460C">
        <w:rPr>
          <w:rFonts w:cs="Times New Roman"/>
          <w:sz w:val="22"/>
        </w:rPr>
        <w:t>Has at least three days of scheduled days of motorsports events each calendar year that are sanctioned by a nationally or internationally recognized governing body of motorsports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Engages in tourism promotion</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following analysis is based upon a capital investment of $10,000,000 in a motorsports entertainment complex at the Darlington Speedway in Darlington, SC.</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would enact the Motorsports Entertainment Complex Investment Act to add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Revenue (DOR)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five-year period, the company is liable for the sales tax it would have been responsible for and the Department of Revenue may “claw back” the sales and use tax owed.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also be multiple cross-over gates installed and a one-of-a-kind </w:t>
      </w:r>
      <w:r w:rsidRPr="0045460C">
        <w:rPr>
          <w:rFonts w:cs="Times New Roman"/>
          <w:i/>
          <w:sz w:val="22"/>
        </w:rPr>
        <w:t>Wall of Honor</w:t>
      </w:r>
      <w:r w:rsidRPr="0045460C">
        <w:rPr>
          <w:rFonts w:cs="Times New Roman"/>
          <w:sz w:val="22"/>
        </w:rPr>
        <w:t xml:space="preserve"> will pay tribute to the former race champions. This will be one of several phases of construction over a period of years. Over 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FY2018-19. Of this amount, </w:t>
      </w:r>
      <w:r>
        <w:rPr>
          <w:rFonts w:cs="Times New Roman"/>
          <w:sz w:val="22"/>
        </w:rPr>
        <w:t>general fund</w:t>
      </w:r>
      <w:r w:rsidRPr="0045460C">
        <w:rPr>
          <w:rFonts w:cs="Times New Roman"/>
          <w:sz w:val="22"/>
        </w:rPr>
        <w:t xml:space="preserve"> sales and use tax revenue would be reduced by </w:t>
      </w:r>
      <w:r w:rsidRPr="0045460C">
        <w:rPr>
          <w:rFonts w:cs="Times New Roman"/>
          <w:sz w:val="22"/>
        </w:rPr>
        <w:lastRenderedPageBreak/>
        <w:t>$240,000, the EIA Fund would be reduced by $60,000, and the Homestead Exemption Fund would be reduced by $60,000 in FY2018-19.</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2.</w:t>
      </w:r>
      <w:r w:rsidRPr="0045460C">
        <w:rPr>
          <w:rFonts w:cs="Times New Roman"/>
          <w:sz w:val="22"/>
        </w:rPr>
        <w:t xml:space="preserve"> This act takes effect upon approval by the Governor and applies to tax years beginning after 2016.</w:t>
      </w:r>
    </w:p>
    <w:p w:rsidR="00E6115A" w:rsidRPr="00375DDC" w:rsidRDefault="00E6115A" w:rsidP="00E6115A">
      <w:pPr>
        <w:rPr>
          <w:b/>
        </w:rPr>
      </w:pPr>
      <w:r w:rsidRPr="00375DDC">
        <w:rPr>
          <w:b/>
        </w:rPr>
        <w:t>Introduced on March 21, 2017</w:t>
      </w:r>
    </w:p>
    <w:p w:rsidR="00E6115A" w:rsidRPr="00375DDC" w:rsidRDefault="00E6115A" w:rsidP="00E6115A">
      <w:pPr>
        <w:rPr>
          <w:b/>
        </w:rPr>
      </w:pPr>
      <w:r w:rsidRPr="00375DDC">
        <w:rPr>
          <w:b/>
        </w:rPr>
        <w:t>State Expenditure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Department of Revenue indicates that there will be no expenditure impact to the </w:t>
      </w:r>
      <w:r>
        <w:rPr>
          <w:rFonts w:cs="Times New Roman"/>
          <w:sz w:val="22"/>
        </w:rPr>
        <w:t>general fund, federal funds, or other funds</w:t>
      </w:r>
      <w:r w:rsidRPr="0045460C">
        <w:rPr>
          <w:rFonts w:cs="Times New Roman"/>
          <w:sz w:val="22"/>
        </w:rPr>
        <w:t xml:space="preserve"> from this bill. The Department can administer the legislative changes with existing resources.</w:t>
      </w:r>
    </w:p>
    <w:p w:rsidR="00E6115A" w:rsidRPr="00375DDC" w:rsidRDefault="00E6115A" w:rsidP="00E6115A">
      <w:pPr>
        <w:rPr>
          <w:b/>
        </w:rPr>
      </w:pPr>
      <w:r w:rsidRPr="00375DDC">
        <w:rPr>
          <w:b/>
        </w:rPr>
        <w:t>State Reve</w:t>
      </w:r>
      <w:r>
        <w:rPr>
          <w:b/>
        </w:rPr>
        <w:t>n</w:t>
      </w:r>
      <w:r w:rsidRPr="00375DDC">
        <w:rPr>
          <w:b/>
        </w:rPr>
        <w:t>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would add Chapter 69 to Title 12 and may be cited as the “Motorsports Entertainment Complex Investment Act”. A motorsports entertainment complex means a motorsports facility, and its ancillary grounds and facilities, that is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NASCAR-sanctioned motor speedway or racetrack that hosted at least one NASCAR Sprint Cup Series race in 2012, or any successor race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Has at least three days of scheduled days of motorsports events each calendar year that are sanctioned by a nationally or internationally recognized governing body of motorsports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Engages in tourism promotion</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makes several changes to statutory tax law. They include,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sales and use tax exemption on building materials, supplies, fixtures, and equipment for the construction, repair, or improvement of or that become a part of a motorsports entertainment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There is created in the State Treasury the Motorsports Tourism Incentive Fund to be used by the Department of Parks, Recreation, and Tourism (PRT) for awarding grants or loans to attract and expand tourism and hospitality projects at events at motorsports entertainment complexes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lastRenderedPageBreak/>
        <w:t></w:t>
      </w:r>
      <w:r w:rsidRPr="0045460C">
        <w:rPr>
          <w:rFonts w:ascii="Symbol" w:hAnsi="Symbol" w:cs="Times New Roman"/>
          <w:sz w:val="22"/>
        </w:rPr>
        <w:tab/>
      </w:r>
      <w:r w:rsidR="00E6115A" w:rsidRPr="0045460C">
        <w:rPr>
          <w:rFonts w:cs="Times New Roman"/>
          <w:sz w:val="22"/>
        </w:rPr>
        <w:t>Allows a taxpayer a nonrefundable investment tax credit of twenty-five percent of the costs to install equipment or technology that allows information to be transmitted through a wireless local area network (LAN) at a motorsports entertainment complex. The tax credit amount may be increased based upon the county designation as determined by the South Carolina Department of Revenue</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Any company subject to a corporate license tax may claim a credit against its license tax liability for amounts paid in cash to provide infrastructure for an eligible project at a motorsports entertainment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F27FC8" w:rsidP="00F27F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45460C">
        <w:rPr>
          <w:rFonts w:ascii="Symbol" w:hAnsi="Symbol" w:cs="Times New Roman"/>
          <w:sz w:val="22"/>
        </w:rPr>
        <w:t></w:t>
      </w:r>
      <w:r w:rsidRPr="0045460C">
        <w:rPr>
          <w:rFonts w:ascii="Symbol" w:hAnsi="Symbol" w:cs="Times New Roman"/>
          <w:sz w:val="22"/>
        </w:rPr>
        <w:tab/>
      </w:r>
      <w:r w:rsidR="00E6115A" w:rsidRPr="0045460C">
        <w:rPr>
          <w:rFonts w:cs="Times New Roman"/>
          <w:sz w:val="22"/>
        </w:rPr>
        <w:t>A taxpayer may retain the total amount of admissions license tax paid at a motorsports entertainment complex to be used on marketing for events at the complex</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The following analysis is based upon a capital investment of $10,000,000 in a motorsports entertainment complex at the Darlington Speedway in Darlington, SC.</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1.</w:t>
      </w:r>
      <w:r w:rsidRPr="0045460C">
        <w:rPr>
          <w:rFonts w:cs="Times New Roman"/>
          <w:sz w:val="22"/>
        </w:rPr>
        <w:t xml:space="preserve"> This section would enact the Motorsports Entertainment Complex Investment Act to include the following provisions.</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adds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Parks, Recreation, and Tourism (PRT)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 year period, the company is liable for the sales tax it would have been responsible for and the Department of Revenue may “claw back” the sales and use tax owed.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also be multiple cross-over gates installed and a one-of-a-kind </w:t>
      </w:r>
      <w:r w:rsidRPr="0045460C">
        <w:rPr>
          <w:rFonts w:cs="Times New Roman"/>
          <w:i/>
          <w:sz w:val="22"/>
        </w:rPr>
        <w:t>Wall of Honor</w:t>
      </w:r>
      <w:r w:rsidRPr="0045460C">
        <w:rPr>
          <w:rFonts w:cs="Times New Roman"/>
          <w:sz w:val="22"/>
        </w:rPr>
        <w:t xml:space="preserve"> will pay tribute to the former race champions. This will be one of several phases of construction over a period of years. Over </w:t>
      </w:r>
      <w:r w:rsidRPr="0045460C">
        <w:rPr>
          <w:rFonts w:cs="Times New Roman"/>
          <w:sz w:val="22"/>
        </w:rPr>
        <w:lastRenderedPageBreak/>
        <w:t xml:space="preserve">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FY2017-18. Of this amount, </w:t>
      </w:r>
      <w:r>
        <w:rPr>
          <w:rFonts w:cs="Times New Roman"/>
          <w:sz w:val="22"/>
        </w:rPr>
        <w:t>general fund</w:t>
      </w:r>
      <w:r w:rsidRPr="0045460C">
        <w:rPr>
          <w:rFonts w:cs="Times New Roman"/>
          <w:sz w:val="22"/>
        </w:rPr>
        <w:t xml:space="preserve"> sales and use tax revenue would be reduced by $240,000, the EIA Fund would be reduced by $60,000, and the Homestead Exemption Fund would be reduced by $60,000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bill adds Section 12-69-50 to create in the State Treasury a fund separate and distinct from the general fund and all other funds styled the Motorsports Tourism Incentive Fund. All earnings and interest on this fund must stay with the fund and any balance in the fund at the end of the fiscal year carries over to the succeeding fiscal year. The fund must be used by PRT solely for awarding grants or loans to attract and expand tourism and hospitality projects related to events at motorsports entertainment complexes. To qualify for an award, a company must make a minimum capital investment of at least $10,000,000; however, the capital investment requirement may be reduced by one-half if the capital investment is made in a Tier III or Tier IV county, pursuant to Section 12-6-3360. Darlington County is designated as a Tier III county based on the latest rankings of the job tax credit county designations in calendar year 2018 by the Department of Revenue. The funds may be used for public and private utility extension on or off site, road access, site acquisition, grading, drainage, paving, construction of publicly or privately owned buildings, training, or grants or loans to an industrial development authority, housing and redevelopment authority, or other political subdivision. The funds may not be used for the payment of any rental, lease, license, or other contractual right to the use of any property. Since this section does not identify a funding source for the grants or loans we are not able to determine the level of loan activity from the fund and is undeterminable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 xml:space="preserve">This section adds Section 12-69-70 to direct the Department of Commerce and Coordinating Council for Economic Development to consider motorsport entertainment complexes when awarding benefits for economic development projects. These awards may be funded from revenue in the Governor’s Closing Fund. Because this </w:t>
      </w:r>
      <w:r w:rsidRPr="0045460C">
        <w:rPr>
          <w:rFonts w:cs="Times New Roman"/>
          <w:sz w:val="22"/>
        </w:rPr>
        <w:lastRenderedPageBreak/>
        <w:t xml:space="preserve">section provides a subjective criterion in making economic development awards and uses a revenue source other than the </w:t>
      </w:r>
      <w:r>
        <w:rPr>
          <w:rFonts w:cs="Times New Roman"/>
          <w:sz w:val="22"/>
        </w:rPr>
        <w:t>general fund</w:t>
      </w:r>
      <w:r w:rsidRPr="0045460C">
        <w:rPr>
          <w:rFonts w:cs="Times New Roman"/>
          <w:sz w:val="22"/>
        </w:rPr>
        <w:t xml:space="preserve">, this section is not expected to affect </w:t>
      </w:r>
      <w:r>
        <w:rPr>
          <w:rFonts w:cs="Times New Roman"/>
          <w:sz w:val="22"/>
        </w:rPr>
        <w:t>general fund</w:t>
      </w:r>
      <w:r w:rsidRPr="0045460C">
        <w:rPr>
          <w:rFonts w:cs="Times New Roman"/>
          <w:sz w:val="22"/>
        </w:rPr>
        <w:t xml:space="preserve"> revenue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5460C">
        <w:rPr>
          <w:rFonts w:cs="Times New Roman"/>
          <w:sz w:val="22"/>
        </w:rPr>
        <w:t>This section adds Section 12-69-80 to allow a nonrefundable tax credit equal to twenty-five percent of the cost incurred by a taxpayer to install equipment or technology that allows information to be transmitted through a wireless local area network (LAN) at a motorsports entertainment complex. The tax credit may be increased by five percent if the motorsports complex is located in a Tier II county, ten percent if located in a Tier III county, and fifteen percent if located in a Tier IV county. Darlington County is designated a Tier III county and would be allowed an additional ten percent tax credit. Any unused tax credits may be carried forward for ten years. Multiplying an estimated $10,000,000 capital investment project by a thirty-five percent tax credit rate yields a reduction of income tax, bank tax, savings and loan tax, and/or corporate license tax revenue of an estimated $3,500,000 in FY2017-18. Any unused tax credits may be carried forward for ten years after the tax year in which the costs were incurred.</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2.</w:t>
      </w:r>
      <w:r w:rsidRPr="0045460C">
        <w:rPr>
          <w:rFonts w:cs="Times New Roman"/>
          <w:sz w:val="22"/>
        </w:rPr>
        <w:t xml:space="preserve"> This section would amend Section 12-20-110 to allow a taxpayer to claim a tax credit against its corporate license tax liability for amounts paid in cash to provide infrastructure for an eligible project at a motorsports entertainment complex. Infrastructure is defined as improvements for water, wastewater, hydrogen fuel, sewer, gas, steam, electric energy, and communication services made to a building or land that are considered necessary, suitable, or useful to an eligible project. The maximum aggregate credit that may be claimed in any tax year by a single company is $400,000. The tax credit may not reduce the license tax liability of the company below zero. If the tax credit earned in a taxable year exceeds the liability, the amount of the excess may be carried forward to the next taxable year. Based on the heavy use of this tax credit in data provided by the Department of Revenue, the $400,000 cash contribution threshold should easily be met. This section, therefore, would reduce </w:t>
      </w:r>
      <w:r>
        <w:rPr>
          <w:rFonts w:cs="Times New Roman"/>
          <w:sz w:val="22"/>
        </w:rPr>
        <w:t>general fund</w:t>
      </w:r>
      <w:r w:rsidRPr="0045460C">
        <w:rPr>
          <w:rFonts w:cs="Times New Roman"/>
          <w:sz w:val="22"/>
        </w:rPr>
        <w:t xml:space="preserve"> corporation license tax revenue by an estimated $400,000 in FY2017-18.</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3.</w:t>
      </w:r>
      <w:r w:rsidRPr="0045460C">
        <w:rPr>
          <w:rFonts w:cs="Times New Roman"/>
          <w:sz w:val="22"/>
        </w:rPr>
        <w:t xml:space="preserve"> Currently, for the ten-year period beginning July 1, 2008, and ending June 30, 2018, one-half of the paid admissions to a motorsports entertainment complex may be withheld by the taxpayer to be used for marketing efforts of the complex. The Board of Economic Advisors has accounted for this revenue in its annual </w:t>
      </w:r>
      <w:r>
        <w:rPr>
          <w:rFonts w:cs="Times New Roman"/>
          <w:sz w:val="22"/>
        </w:rPr>
        <w:t>general fund</w:t>
      </w:r>
      <w:r w:rsidRPr="0045460C">
        <w:rPr>
          <w:rFonts w:cs="Times New Roman"/>
          <w:sz w:val="22"/>
        </w:rPr>
        <w:t xml:space="preserve"> revenue estimates since that date. This section would </w:t>
      </w:r>
      <w:r w:rsidRPr="0045460C">
        <w:rPr>
          <w:rFonts w:cs="Times New Roman"/>
          <w:sz w:val="22"/>
        </w:rPr>
        <w:lastRenderedPageBreak/>
        <w:t xml:space="preserve">amend Section 12-21-2425(A) to strike the phrase “for ten years beginning July 1, 2008, one-half of” the paid admissions to a motorsports entertainment complex. This bill would allow the admission tax revenue collected annually from all events held at a NASCAR sanctioned motor speedway or racetrack that hosts at least one race each year featuring the preeminent NASCAR cup series to be retained by the motorsports entertainment complex facility. The funds would be used to help keep a NASCAR race at the motorsports entertainment complex facility. This amounted to admissions tax revenue retained by the motorsports complex of $87,028 in FY2016-17. The BEA was anticipating the return of this revenue to the </w:t>
      </w:r>
      <w:r>
        <w:rPr>
          <w:rFonts w:cs="Times New Roman"/>
          <w:sz w:val="22"/>
        </w:rPr>
        <w:t>general fund</w:t>
      </w:r>
      <w:r w:rsidRPr="0045460C">
        <w:rPr>
          <w:rFonts w:cs="Times New Roman"/>
          <w:sz w:val="22"/>
        </w:rPr>
        <w:t xml:space="preserve"> after the expiration of the ten year period in FY2018-19. This bill, therefore, would allow the additional one-half of paid admissions to a motorsports entertainment complex to be retained by the complex. Based on actual admissions tax collections from a motorsports entertainment complex and the change in statutory language, this bill would reduce </w:t>
      </w:r>
      <w:r>
        <w:rPr>
          <w:rFonts w:cs="Times New Roman"/>
          <w:sz w:val="22"/>
        </w:rPr>
        <w:t>general fund</w:t>
      </w:r>
      <w:r w:rsidRPr="0045460C">
        <w:rPr>
          <w:rFonts w:cs="Times New Roman"/>
          <w:sz w:val="22"/>
        </w:rPr>
        <w:t xml:space="preserve"> admissions tax revenue by an estimated $87,028 in FY2017-18 and by $174,056 in FY2018-19, and each fiscal year thereafter.</w:t>
      </w:r>
    </w:p>
    <w:p w:rsidR="00E6115A" w:rsidRPr="0045460C" w:rsidRDefault="00E6115A" w:rsidP="00E611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5460C">
        <w:rPr>
          <w:rFonts w:cs="Times New Roman"/>
          <w:b/>
          <w:sz w:val="22"/>
        </w:rPr>
        <w:t>Section 4.</w:t>
      </w:r>
      <w:r w:rsidRPr="0045460C">
        <w:rPr>
          <w:rFonts w:cs="Times New Roman"/>
          <w:sz w:val="22"/>
        </w:rPr>
        <w:t xml:space="preserve"> This act takes effect upon approval by the Governor and applies to tax years beginning after 2016.</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115A" w:rsidRP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5A"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86BEA">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p>
    <w:p w:rsidR="00887428" w:rsidRDefault="00887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Start w:id="4" w:name="_GoBack"/>
      <w:bookmarkEnd w:id="3"/>
      <w:bookmarkEnd w:id="4"/>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(1)</w:t>
      </w:r>
      <w:r w:rsidRPr="0051264A">
        <w:tab/>
        <w:t>‘Company’ means any corporation, partnership, limited liability company, or other business entity.</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30.</w:t>
      </w:r>
      <w:r w:rsidRPr="0051264A">
        <w:tab/>
        <w:t>(A)</w:t>
      </w:r>
      <w:r w:rsidRPr="0051264A">
        <w:tab/>
        <w:t xml:space="preserve">A company, upon making application for, meeting the requirements of, and receiving written certification </w:t>
      </w:r>
      <w:r w:rsidRPr="0051264A">
        <w:lastRenderedPageBreak/>
        <w:t>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(E)</w:t>
      </w:r>
      <w:r w:rsidRPr="0051264A">
        <w:tab/>
        <w:t xml:space="preserve">At the time the company is certified by the department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company. If a company elects to assign payments to the designated trustee, the election must be made </w:t>
      </w:r>
      <w:r w:rsidRPr="0051264A">
        <w:lastRenderedPageBreak/>
        <w:t>on a form provided by the department including a waiver of the provisions of Section 12</w:t>
      </w:r>
      <w:r w:rsidRPr="0051264A">
        <w:noBreakHyphen/>
        <w:t>54</w:t>
      </w:r>
      <w:r w:rsidRPr="0051264A">
        <w:noBreakHyphen/>
        <w:t>240, and the payments may be paid only to the designated trustee. The company must file an application for the assignment with the director of the department no later than sixty days after certification.”</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5C1B" w:rsidRPr="00B86BE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64A">
        <w:rPr>
          <w:u w:color="000000" w:themeColor="text1"/>
        </w:rPr>
        <w:t>SECTION</w:t>
      </w:r>
      <w:r w:rsidRPr="0051264A">
        <w:rPr>
          <w:u w:color="000000" w:themeColor="text1"/>
        </w:rPr>
        <w:tab/>
        <w:t>2.</w:t>
      </w:r>
      <w:r w:rsidRPr="0051264A">
        <w:rPr>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4E6C" w:rsidRDefault="00624E6C" w:rsidP="00624E6C">
      <w:pPr>
        <w:suppressAutoHyphens/>
      </w:pPr>
    </w:p>
    <w:sectPr w:rsidR="00624E6C"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0610DC1-A653-4E50-9709-85AA30BAC8AD}"/>
  </w:font>
  <w:font w:name="Times New Roman">
    <w:panose1 w:val="02020603050405020304"/>
    <w:charset w:val="00"/>
    <w:family w:val="roman"/>
    <w:pitch w:val="variable"/>
    <w:sig w:usb0="E0002AFF" w:usb1="C0007841" w:usb2="00000009" w:usb3="00000000" w:csb0="000001FF" w:csb1="00000000"/>
    <w:embedRegular r:id="rId2" w:fontKey="{8D1F21A4-96C4-4550-9DC4-57E6AC3550C3}"/>
    <w:embedBold r:id="rId3" w:fontKey="{56FB271A-2D12-4206-8A64-80FF508C6CA5}"/>
    <w:embedItalic r:id="rId4" w:fontKey="{A1D851DA-CA61-45DA-955D-7685496ABDBC}"/>
  </w:font>
  <w:font w:name="Courier New">
    <w:panose1 w:val="02070309020205020404"/>
    <w:charset w:val="00"/>
    <w:family w:val="modern"/>
    <w:pitch w:val="fixed"/>
    <w:sig w:usb0="E0002AFF" w:usb1="C0007843" w:usb2="00000009" w:usb3="00000000" w:csb0="000001FF" w:csb1="00000000"/>
    <w:embedRegular r:id="rId5" w:fontKey="{75E57EA8-7C80-4EA1-98F1-9DFB13714CF9}"/>
  </w:font>
  <w:font w:name="Wingdings">
    <w:panose1 w:val="05000000000000000000"/>
    <w:charset w:val="02"/>
    <w:family w:val="auto"/>
    <w:pitch w:val="variable"/>
    <w:sig w:usb0="00000000" w:usb1="10000000" w:usb2="00000000" w:usb3="00000000" w:csb0="80000000" w:csb1="00000000"/>
    <w:embedRegular r:id="rId6" w:fontKey="{10602D1B-D4E5-4EB9-9E19-2FC51F4F739B}"/>
  </w:font>
  <w:font w:name="Calibri">
    <w:panose1 w:val="020F0502020204030204"/>
    <w:charset w:val="00"/>
    <w:family w:val="swiss"/>
    <w:pitch w:val="variable"/>
    <w:sig w:usb0="E00002FF" w:usb1="4000ACFF" w:usb2="00000001" w:usb3="00000000" w:csb0="0000019F" w:csb1="00000000"/>
    <w:embedRegular r:id="rId7" w:fontKey="{7ED11BDB-F6FB-4580-8BB5-494A11985BCA}"/>
    <w:embedBold r:id="rId8" w:fontKey="{22B04D4D-920F-47FD-8667-9D84CD4B355E}"/>
    <w:embedItalic r:id="rId9" w:fontKey="{902B8A29-6825-4593-8495-D874CF8677EF}"/>
  </w:font>
  <w:font w:name="Cambria">
    <w:panose1 w:val="02040503050406030204"/>
    <w:charset w:val="00"/>
    <w:family w:val="roman"/>
    <w:pitch w:val="variable"/>
    <w:sig w:usb0="E00002FF" w:usb1="400004FF" w:usb2="00000000" w:usb3="00000000" w:csb0="0000019F" w:csb1="00000000"/>
    <w:embedRegular r:id="rId10" w:fontKey="{D554E004-768E-45A6-89D6-95C7B53BB95B}"/>
  </w:font>
  <w:font w:name="Segoe UI">
    <w:panose1 w:val="020B0502040204020203"/>
    <w:charset w:val="00"/>
    <w:family w:val="swiss"/>
    <w:pitch w:val="variable"/>
    <w:sig w:usb0="E10022FF" w:usb1="C000E47F" w:usb2="00000029" w:usb3="00000000" w:csb0="000001DF" w:csb1="00000000"/>
    <w:embedRegular r:id="rId11" w:fontKey="{525E8709-3323-41E8-9161-9D9AA461B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BA43C8">
      <w:rPr>
        <w:noProof/>
      </w:rPr>
      <w:t>9</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BA43C8">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020D8"/>
    <w:multiLevelType w:val="hybridMultilevel"/>
    <w:tmpl w:val="77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54BFC"/>
    <w:multiLevelType w:val="hybridMultilevel"/>
    <w:tmpl w:val="B4F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0C14"/>
    <w:multiLevelType w:val="hybridMultilevel"/>
    <w:tmpl w:val="3E1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E6C"/>
    <w:rsid w:val="0068278A"/>
    <w:rsid w:val="006913C9"/>
    <w:rsid w:val="0069470D"/>
    <w:rsid w:val="006D58AA"/>
    <w:rsid w:val="00734F00"/>
    <w:rsid w:val="007352BE"/>
    <w:rsid w:val="00765536"/>
    <w:rsid w:val="007A70AE"/>
    <w:rsid w:val="007E4FEF"/>
    <w:rsid w:val="008362E8"/>
    <w:rsid w:val="0085786E"/>
    <w:rsid w:val="00887428"/>
    <w:rsid w:val="008A1768"/>
    <w:rsid w:val="008A489F"/>
    <w:rsid w:val="008F0F33"/>
    <w:rsid w:val="008F4429"/>
    <w:rsid w:val="0094021A"/>
    <w:rsid w:val="00983062"/>
    <w:rsid w:val="00997363"/>
    <w:rsid w:val="009B44AF"/>
    <w:rsid w:val="009C6A0B"/>
    <w:rsid w:val="009F0C77"/>
    <w:rsid w:val="009F4DD1"/>
    <w:rsid w:val="00A02543"/>
    <w:rsid w:val="00A41684"/>
    <w:rsid w:val="00A56CCF"/>
    <w:rsid w:val="00A64352"/>
    <w:rsid w:val="00A64E80"/>
    <w:rsid w:val="00A72BCD"/>
    <w:rsid w:val="00A741D9"/>
    <w:rsid w:val="00A833AB"/>
    <w:rsid w:val="00A9741D"/>
    <w:rsid w:val="00AC34A2"/>
    <w:rsid w:val="00AD1C9A"/>
    <w:rsid w:val="00AD4B17"/>
    <w:rsid w:val="00B412D4"/>
    <w:rsid w:val="00BA43C8"/>
    <w:rsid w:val="00BD2412"/>
    <w:rsid w:val="00BE3C22"/>
    <w:rsid w:val="00C0345E"/>
    <w:rsid w:val="00C11290"/>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6115A"/>
    <w:rsid w:val="00E75328"/>
    <w:rsid w:val="00E92EEF"/>
    <w:rsid w:val="00EF2368"/>
    <w:rsid w:val="00F24442"/>
    <w:rsid w:val="00F27FC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0BA58-4F0A-495F-9E48-418572C1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9E1D5A00.dotm</Template>
  <TotalTime>0</TotalTime>
  <Pages>13</Pages>
  <Words>4181</Words>
  <Characters>21743</Characters>
  <Application>Microsoft Office Word</Application>
  <DocSecurity>0</DocSecurity>
  <Lines>517</Lines>
  <Paragraphs>107</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25817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(Apr. 24, 2018) - South Carolina Legislature Online</dc:title>
  <dc:creator>%USERNAME%</dc:creator>
  <cp:lastModifiedBy>Lavarres Lynch</cp:lastModifiedBy>
  <cp:revision>3</cp:revision>
  <cp:lastPrinted>2018-03-22T23:18:00Z</cp:lastPrinted>
  <dcterms:created xsi:type="dcterms:W3CDTF">2018-04-24T21:50:00Z</dcterms:created>
  <dcterms:modified xsi:type="dcterms:W3CDTF">2018-04-24T22:18:00Z</dcterms:modified>
</cp:coreProperties>
</file>