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024E" w:rsidRP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Pr="00E4024E" w:rsidRDefault="00E4024E" w:rsidP="00E4024E">
      <w:pPr>
        <w:tabs>
          <w:tab w:val="right" w:pos="5933"/>
        </w:tabs>
        <w:suppressAutoHyphens/>
      </w:pPr>
      <w:r>
        <w:tab/>
      </w:r>
      <w:r>
        <w:rPr>
          <w:b/>
          <w:sz w:val="36"/>
        </w:rPr>
        <w:t>H. 4602</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349B">
        <w:t>Reps. Henderson, Bedingfield, Alexander, Dillard, Douglas, Erickson, Fry, Hewitt, Huggins, Ridgeway, West, Norrell, Weeks, Rutherford and Atwater</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4602) </w:t>
      </w:r>
      <w:r w:rsidRPr="00E4024E">
        <w:rPr>
          <w:color w:val="000000" w:themeColor="text1"/>
          <w:u w:color="000000" w:themeColor="text1"/>
        </w:rPr>
        <w:t>to amend the Code of Laws of South Carolina, 1976, by adding Section 44</w:t>
      </w:r>
      <w:r w:rsidRPr="00E4024E">
        <w:rPr>
          <w:color w:val="000000" w:themeColor="text1"/>
          <w:u w:color="000000" w:themeColor="text1"/>
        </w:rPr>
        <w:noBreakHyphen/>
        <w:t>130</w:t>
      </w:r>
      <w:r w:rsidRPr="00E4024E">
        <w:rPr>
          <w:color w:val="000000" w:themeColor="text1"/>
          <w:u w:color="000000" w:themeColor="text1"/>
        </w:rPr>
        <w:noBreakHyphen/>
        <w:t>70 so as to require hospital emergency department physicians and pharmacists to submit certain</w:t>
      </w:r>
      <w:r>
        <w:t>, etc., respectfully</w:t>
      </w: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197">
        <w:t>Amend the bill, as and if amended, by striking SECTION 1 and inserting:</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1197">
        <w:t>/</w:t>
      </w:r>
      <w:r w:rsidRPr="008C1197">
        <w:tab/>
        <w:t>SECTION</w:t>
      </w:r>
      <w:r w:rsidRPr="008C1197">
        <w:tab/>
        <w:t>1.</w:t>
      </w:r>
      <w:r w:rsidRPr="008C1197">
        <w:tab/>
      </w:r>
      <w:r w:rsidRPr="008C1197">
        <w:rPr>
          <w:u w:color="000000" w:themeColor="text1"/>
        </w:rPr>
        <w:t>Chapter 130, Title 44 of the 1976 Code is amended by adding:</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“Section 44</w:t>
      </w:r>
      <w:r w:rsidRPr="008C1197">
        <w:rPr>
          <w:u w:color="000000" w:themeColor="text1"/>
        </w:rPr>
        <w:noBreakHyphen/>
        <w:t>130</w:t>
      </w:r>
      <w:r w:rsidRPr="008C1197">
        <w:rPr>
          <w:u w:color="000000" w:themeColor="text1"/>
        </w:rPr>
        <w:noBreakHyphen/>
        <w:t>70.</w:t>
      </w:r>
      <w:r w:rsidRPr="008C1197">
        <w:rPr>
          <w:u w:color="000000" w:themeColor="text1"/>
        </w:rPr>
        <w:tab/>
        <w:t>(</w:t>
      </w:r>
      <w:bookmarkStart w:id="0" w:name="temp"/>
      <w:bookmarkEnd w:id="0"/>
      <w:r w:rsidRPr="008C1197">
        <w:rPr>
          <w:u w:color="000000" w:themeColor="text1"/>
        </w:rPr>
        <w:t>A)</w:t>
      </w:r>
      <w:r w:rsidRPr="008C1197">
        <w:rPr>
          <w:u w:color="000000" w:themeColor="text1"/>
        </w:rPr>
        <w:tab/>
        <w:t xml:space="preserve">If a person is administered an opioid antidote in a hospital emergency department or other health care facility </w:t>
      </w:r>
      <w:r w:rsidRPr="008C1197">
        <w:t>and the supervising physician diagnoses the patient as having experienced</w:t>
      </w:r>
      <w:r w:rsidRPr="008C1197">
        <w:rPr>
          <w:u w:color="000000" w:themeColor="text1"/>
        </w:rPr>
        <w:t xml:space="preserve"> an opioid overdose, the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charge shall report to the department’s Bureau of Drug Control information regarding the opioid antidote administered for inclusion in the prescription monitoring program. The information submitted must include:</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(1)</w:t>
      </w:r>
      <w:r w:rsidRPr="008C1197">
        <w:rPr>
          <w:u w:color="000000" w:themeColor="text1"/>
        </w:rPr>
        <w:tab/>
        <w:t>date the opioid antidote was administered;</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(2)</w:t>
      </w:r>
      <w:r w:rsidRPr="008C1197">
        <w:rPr>
          <w:u w:color="000000" w:themeColor="text1"/>
        </w:rPr>
        <w:tab/>
        <w:t>dosage of opioid antidote administered and route of administration; and</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lastRenderedPageBreak/>
        <w:tab/>
      </w:r>
      <w:r w:rsidRPr="008C1197">
        <w:rPr>
          <w:u w:color="000000" w:themeColor="text1"/>
        </w:rPr>
        <w:tab/>
        <w:t>(3)</w:t>
      </w:r>
      <w:r w:rsidRPr="008C1197">
        <w:rPr>
          <w:u w:color="000000" w:themeColor="text1"/>
        </w:rPr>
        <w:tab/>
        <w:t>name, address, and date of birth of the person to whom the opioid antidote was administered, if available.</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(B)</w:t>
      </w:r>
      <w:r w:rsidRPr="008C1197">
        <w:rPr>
          <w:u w:color="000000" w:themeColor="text1"/>
        </w:rPr>
        <w:tab/>
        <w:t>The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 xml:space="preserve">charge shall submit the information required pursuant to subsection (A) electronically to Drug Control within </w:t>
      </w:r>
      <w:r w:rsidRPr="008C1197">
        <w:t>three business days after</w:t>
      </w:r>
      <w:r w:rsidRPr="008C1197">
        <w:rPr>
          <w:u w:color="000000" w:themeColor="text1"/>
        </w:rPr>
        <w:t xml:space="preserve"> </w:t>
      </w:r>
      <w:r w:rsidRPr="008C1197">
        <w:t>a discharge</w:t>
      </w:r>
      <w:r w:rsidRPr="008C1197">
        <w:rPr>
          <w:u w:color="000000" w:themeColor="text1"/>
        </w:rPr>
        <w:t xml:space="preserve"> </w:t>
      </w:r>
      <w:r w:rsidRPr="008C1197">
        <w:t>diagnosis of an opioid overdose and administration of an opioid antidote</w:t>
      </w:r>
      <w:r w:rsidRPr="008C1197">
        <w:rPr>
          <w:u w:color="000000" w:themeColor="text1"/>
        </w:rPr>
        <w:t>.</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(C)(1)</w:t>
      </w:r>
      <w:r w:rsidRPr="008C1197">
        <w:rPr>
          <w:u w:color="000000" w:themeColor="text1"/>
        </w:rPr>
        <w:tab/>
        <w:t>After a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197">
        <w:rPr>
          <w:u w:color="000000" w:themeColor="text1"/>
        </w:rPr>
        <w:tab/>
      </w:r>
      <w:r w:rsidRPr="008C1197">
        <w:rPr>
          <w:u w:color="000000" w:themeColor="text1"/>
        </w:rPr>
        <w:tab/>
        <w:t>(2)</w:t>
      </w:r>
      <w:r w:rsidRPr="008C1197">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8C1197">
        <w:t>as required pursuant to subsection (A)</w:t>
      </w:r>
      <w:r w:rsidRPr="008C1197">
        <w:rPr>
          <w:u w:color="000000" w:themeColor="text1"/>
        </w:rPr>
        <w:t xml:space="preserve"> and other health care facilities by geographic location.”</w:t>
      </w:r>
      <w:r w:rsidRPr="008C1197">
        <w:rPr>
          <w:u w:color="000000" w:themeColor="text1"/>
        </w:rPr>
        <w:tab/>
        <w:t>/</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197">
        <w:t>Renumber sections to conform.</w:t>
      </w:r>
    </w:p>
    <w:p w:rsid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1197">
        <w:t>Amend title to conform.</w:t>
      </w:r>
    </w:p>
    <w:p w:rsidR="00E4024E" w:rsidRPr="008C1197"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Pr="00E4024E" w:rsidRDefault="00E4024E" w:rsidP="00E40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4024E" w:rsidRPr="00366CB6" w:rsidRDefault="00E4024E" w:rsidP="00E4024E">
      <w:pPr>
        <w:rPr>
          <w:b/>
        </w:rPr>
      </w:pPr>
      <w:r w:rsidRPr="00366CB6">
        <w:rPr>
          <w:b/>
        </w:rPr>
        <w:t>Explanation of Fiscal Impact</w:t>
      </w:r>
    </w:p>
    <w:p w:rsidR="00E4024E" w:rsidRPr="00366CB6" w:rsidRDefault="00E4024E" w:rsidP="00E4024E">
      <w:pPr>
        <w:rPr>
          <w:b/>
        </w:rPr>
      </w:pPr>
      <w:r w:rsidRPr="00366CB6">
        <w:rPr>
          <w:b/>
        </w:rPr>
        <w:t>Introduced on January 10, 2018</w:t>
      </w:r>
    </w:p>
    <w:p w:rsidR="00E4024E" w:rsidRPr="00366CB6" w:rsidRDefault="00E4024E" w:rsidP="00E4024E">
      <w:r w:rsidRPr="00366CB6">
        <w:rPr>
          <w:b/>
        </w:rPr>
        <w:t>State Expenditure</w:t>
      </w:r>
    </w:p>
    <w:p w:rsidR="00E4024E" w:rsidRPr="00366CB6" w:rsidRDefault="00E4024E" w:rsidP="00E402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6CB6">
        <w:rPr>
          <w:sz w:val="22"/>
        </w:rPr>
        <w:t xml:space="preserve">This bill would require first responders, supervising physicians, or the pharmacist-in-charge in a hospital emergency department or other health care facility to submit a report to the Department of Health and Environmental Control’s Bureau of Drug Control (Drug Control) on any individual who is administered an opioid antidote when that person appears to be experiencing an opioid overdose.   The report must be submitted electronically within 24 hours of administering the opioid antidote.  </w:t>
      </w:r>
    </w:p>
    <w:p w:rsidR="00E4024E" w:rsidRPr="00366CB6" w:rsidRDefault="00E4024E" w:rsidP="00E402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6CB6">
        <w:rPr>
          <w:sz w:val="22"/>
        </w:rPr>
        <w:t xml:space="preserve">Once a report has been submitted, Drug Control must verify whether any prescription history of the person appears in the </w:t>
      </w:r>
      <w:r w:rsidRPr="00366CB6">
        <w:rPr>
          <w:sz w:val="22"/>
        </w:rPr>
        <w:lastRenderedPageBreak/>
        <w:t>prescription monitoring program, and if so, document the date of the administration of the opioid antidote in the Prescription Monitoring Program so that it may be reviewed by a practitioner or authorized delegate.  Additionally, Drug Control must maintain data on the administration of opioid antidotes including the frequency with which opioid antidotes are administered by geographical location, first responder, and dispenser, where applicable.</w:t>
      </w:r>
    </w:p>
    <w:p w:rsidR="00E4024E" w:rsidRPr="00366CB6" w:rsidRDefault="00E4024E" w:rsidP="00E4024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66CB6">
        <w:rPr>
          <w:sz w:val="22"/>
        </w:rPr>
        <w:t>The expenditure impact to the Department of Health and Environmental Control is pending, contingent upon a response from the agency.</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4024E" w:rsidRP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24E" w:rsidSect="00E402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A63" w:rsidRDefault="00740A63"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E50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83D" w:rsidP="009F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0C7A51">
        <w:rPr>
          <w:color w:val="000000" w:themeColor="text1"/>
          <w:u w:color="000000" w:themeColor="text1"/>
        </w:rPr>
        <w:t>TO AMEND THE CODE OF LAWS OF SOUTH CAROLINA, 1976, BY ADDING SECTION 44</w:t>
      </w:r>
      <w:r w:rsidR="00E81102">
        <w:rPr>
          <w:color w:val="000000" w:themeColor="text1"/>
          <w:u w:color="000000" w:themeColor="text1"/>
        </w:rPr>
        <w:noBreakHyphen/>
      </w:r>
      <w:r w:rsidRPr="000C7A51">
        <w:rPr>
          <w:color w:val="000000" w:themeColor="text1"/>
          <w:u w:color="000000" w:themeColor="text1"/>
        </w:rPr>
        <w:t>130</w:t>
      </w:r>
      <w:r w:rsidR="00E81102">
        <w:rPr>
          <w:color w:val="000000" w:themeColor="text1"/>
          <w:u w:color="000000" w:themeColor="text1"/>
        </w:rPr>
        <w:noBreakHyphen/>
      </w:r>
      <w:r w:rsidRPr="000C7A51">
        <w:rPr>
          <w:color w:val="000000" w:themeColor="text1"/>
          <w:u w:color="000000" w:themeColor="text1"/>
        </w:rPr>
        <w:t xml:space="preserve">70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E81102">
        <w:rPr>
          <w:color w:val="000000" w:themeColor="text1"/>
          <w:u w:color="000000" w:themeColor="text1"/>
        </w:rPr>
        <w:noBreakHyphen/>
      </w:r>
      <w:r w:rsidRPr="000C7A51">
        <w:rPr>
          <w:color w:val="000000" w:themeColor="text1"/>
          <w:u w:color="000000" w:themeColor="text1"/>
        </w:rPr>
        <w:t>130</w:t>
      </w:r>
      <w:r w:rsidR="00E81102">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E81102">
        <w:rPr>
          <w:color w:val="000000" w:themeColor="text1"/>
          <w:u w:color="000000" w:themeColor="text1"/>
        </w:rPr>
        <w:noBreakHyphen/>
      </w:r>
      <w:r w:rsidRPr="000C7A51">
        <w:rPr>
          <w:color w:val="000000" w:themeColor="text1"/>
          <w:u w:color="000000" w:themeColor="text1"/>
        </w:rPr>
        <w:t>53</w:t>
      </w:r>
      <w:r w:rsidR="00E81102">
        <w:rPr>
          <w:color w:val="000000" w:themeColor="text1"/>
          <w:u w:color="000000" w:themeColor="text1"/>
        </w:rPr>
        <w:noBreakHyphen/>
      </w:r>
      <w:r w:rsidRPr="000C7A51">
        <w:rPr>
          <w:color w:val="000000" w:themeColor="text1"/>
          <w:u w:color="000000" w:themeColor="text1"/>
        </w:rPr>
        <w:t>1640, AS AMENDED, RELATING TO THE PRESCRIPTION MONITORING PROGRAM, SO AS TO REQUIRE THE PROGRAM TO MONITOR THE ADMINISTERING OF OPIOID ANTIDOTES BY FIRST RESPONDERS AND IN EMERGENCY HEALTH CARE SETTINGS; AND TO AMEND SECTION 44</w:t>
      </w:r>
      <w:r w:rsidR="00E81102">
        <w:rPr>
          <w:color w:val="000000" w:themeColor="text1"/>
          <w:u w:color="000000" w:themeColor="text1"/>
        </w:rPr>
        <w:noBreakHyphen/>
      </w:r>
      <w:r w:rsidRPr="000C7A51">
        <w:rPr>
          <w:color w:val="000000" w:themeColor="text1"/>
          <w:u w:color="000000" w:themeColor="text1"/>
        </w:rPr>
        <w:t>53</w:t>
      </w:r>
      <w:r w:rsidR="00E81102">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E81102" w:rsidRPr="00E81102">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8E2534" w:rsidRPr="00172FB7">
        <w:rPr>
          <w:color w:val="000000" w:themeColor="text1"/>
          <w:u w:color="000000" w:themeColor="text1"/>
        </w:rPr>
        <w:t>Chapter 130, Title 44 of the 1976 Code is amended by adding:</w:t>
      </w:r>
    </w:p>
    <w:p w:rsidR="008E2534" w:rsidRDefault="008E25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7131" w:rsidRDefault="008E2534"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5D61" w:rsidRPr="00DC054F">
        <w:rPr>
          <w:color w:val="000000" w:themeColor="text1"/>
          <w:u w:color="000000" w:themeColor="text1"/>
        </w:rPr>
        <w:t>“</w:t>
      </w:r>
      <w:r w:rsidR="00F97131" w:rsidRPr="000C7A51">
        <w:rPr>
          <w:color w:val="000000" w:themeColor="text1"/>
          <w:u w:color="000000" w:themeColor="text1"/>
        </w:rPr>
        <w:t>Section 44</w:t>
      </w:r>
      <w:r w:rsidR="00E81102">
        <w:rPr>
          <w:color w:val="000000" w:themeColor="text1"/>
          <w:u w:color="000000" w:themeColor="text1"/>
        </w:rPr>
        <w:noBreakHyphen/>
      </w:r>
      <w:r w:rsidR="00F97131" w:rsidRPr="000C7A51">
        <w:rPr>
          <w:color w:val="000000" w:themeColor="text1"/>
          <w:u w:color="000000" w:themeColor="text1"/>
        </w:rPr>
        <w:t>130</w:t>
      </w:r>
      <w:r w:rsidR="00E81102">
        <w:rPr>
          <w:color w:val="000000" w:themeColor="text1"/>
          <w:u w:color="000000" w:themeColor="text1"/>
        </w:rPr>
        <w:noBreakHyphen/>
      </w:r>
      <w:r w:rsidR="00F97131" w:rsidRPr="000C7A51">
        <w:rPr>
          <w:color w:val="000000" w:themeColor="text1"/>
          <w:u w:color="000000" w:themeColor="text1"/>
        </w:rPr>
        <w:t>70.</w:t>
      </w:r>
      <w:r w:rsidR="00F97131">
        <w:rPr>
          <w:color w:val="000000" w:themeColor="text1"/>
          <w:u w:color="000000" w:themeColor="text1"/>
        </w:rPr>
        <w:tab/>
      </w:r>
      <w:r w:rsidR="00F97131" w:rsidRPr="000C7A51">
        <w:rPr>
          <w:color w:val="000000" w:themeColor="text1"/>
          <w:u w:color="000000" w:themeColor="text1"/>
        </w:rPr>
        <w:t>(A)</w:t>
      </w:r>
      <w:r w:rsidR="00F97131">
        <w:rPr>
          <w:color w:val="000000" w:themeColor="text1"/>
          <w:u w:color="000000" w:themeColor="text1"/>
        </w:rPr>
        <w:tab/>
      </w:r>
      <w:r w:rsidR="00F97131" w:rsidRPr="000C7A51">
        <w:rPr>
          <w:color w:val="000000" w:themeColor="text1"/>
          <w:u w:color="000000" w:themeColor="text1"/>
        </w:rPr>
        <w:t>If a person is administered an opioid antidote in a hospital emergency department or other health care facility when the person appears to be experiencing an opioid overdose, the supervising physician or institutional pharmacy</w:t>
      </w:r>
      <w:r w:rsidR="00E81102" w:rsidRPr="00E81102">
        <w:rPr>
          <w:color w:val="000000" w:themeColor="text1"/>
          <w:u w:color="000000" w:themeColor="text1"/>
        </w:rPr>
        <w:t>’</w:t>
      </w:r>
      <w:r w:rsidR="00F97131" w:rsidRPr="000C7A51">
        <w:rPr>
          <w:color w:val="000000" w:themeColor="text1"/>
          <w:u w:color="000000" w:themeColor="text1"/>
        </w:rPr>
        <w:t>s pharmacist</w:t>
      </w:r>
      <w:r w:rsidR="00E81102">
        <w:rPr>
          <w:color w:val="000000" w:themeColor="text1"/>
          <w:u w:color="000000" w:themeColor="text1"/>
        </w:rPr>
        <w:noBreakHyphen/>
      </w:r>
      <w:r w:rsidR="00F97131" w:rsidRPr="000C7A51">
        <w:rPr>
          <w:color w:val="000000" w:themeColor="text1"/>
          <w:u w:color="000000" w:themeColor="text1"/>
        </w:rPr>
        <w:t>in</w:t>
      </w:r>
      <w:r w:rsidR="00E81102">
        <w:rPr>
          <w:color w:val="000000" w:themeColor="text1"/>
          <w:u w:color="000000" w:themeColor="text1"/>
        </w:rPr>
        <w:noBreakHyphen/>
      </w:r>
      <w:r w:rsidR="00F97131" w:rsidRPr="000C7A51">
        <w:rPr>
          <w:color w:val="000000" w:themeColor="text1"/>
          <w:u w:color="000000" w:themeColor="text1"/>
        </w:rPr>
        <w:t>charge shall report to the department</w:t>
      </w:r>
      <w:r w:rsidR="00E81102" w:rsidRPr="00E81102">
        <w:rPr>
          <w:color w:val="000000" w:themeColor="text1"/>
          <w:u w:color="000000" w:themeColor="text1"/>
        </w:rPr>
        <w:t>’</w:t>
      </w:r>
      <w:r w:rsidR="00F97131" w:rsidRPr="000C7A51">
        <w:rPr>
          <w:color w:val="000000" w:themeColor="text1"/>
          <w:u w:color="000000" w:themeColor="text1"/>
        </w:rPr>
        <w:t>s Bureau of Drug Control information regarding the opioid antidote administered for inclusion in the prescription monitoring program. The information submitted must include:</w:t>
      </w:r>
    </w:p>
    <w:p w:rsidR="00F9713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(1)</w:t>
      </w:r>
      <w:r>
        <w:rPr>
          <w:color w:val="000000" w:themeColor="text1"/>
          <w:u w:color="000000" w:themeColor="text1"/>
        </w:rPr>
        <w:tab/>
      </w:r>
      <w:r w:rsidRPr="000C7A51">
        <w:rPr>
          <w:color w:val="000000" w:themeColor="text1"/>
          <w:u w:color="000000" w:themeColor="text1"/>
        </w:rPr>
        <w:t>date the opioid antidote was administered;</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dosage of opioid</w:t>
      </w:r>
      <w:r w:rsidR="00A72847">
        <w:rPr>
          <w:color w:val="000000" w:themeColor="text1"/>
          <w:u w:color="000000" w:themeColor="text1"/>
        </w:rPr>
        <w:t xml:space="preserve"> </w:t>
      </w:r>
      <w:r w:rsidRPr="000C7A51">
        <w:rPr>
          <w:color w:val="000000" w:themeColor="text1"/>
          <w:u w:color="000000" w:themeColor="text1"/>
        </w:rPr>
        <w:t>antidote administered a</w:t>
      </w:r>
      <w:r>
        <w:rPr>
          <w:color w:val="000000" w:themeColor="text1"/>
          <w:u w:color="000000" w:themeColor="text1"/>
        </w:rPr>
        <w:t>nd route of administration; and</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w:t>
      </w:r>
    </w:p>
    <w:p w:rsidR="00F9713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The supervising physician or institutional pharmacy</w:t>
      </w:r>
      <w:r w:rsidR="00E81102" w:rsidRPr="00E81102">
        <w:rPr>
          <w:color w:val="000000" w:themeColor="text1"/>
          <w:u w:color="000000" w:themeColor="text1"/>
        </w:rPr>
        <w:t>’</w:t>
      </w:r>
      <w:r w:rsidRPr="000C7A51">
        <w:rPr>
          <w:color w:val="000000" w:themeColor="text1"/>
          <w:u w:color="000000" w:themeColor="text1"/>
        </w:rPr>
        <w:t>s pharmacist</w:t>
      </w:r>
      <w:r w:rsidR="00E81102">
        <w:rPr>
          <w:color w:val="000000" w:themeColor="text1"/>
          <w:u w:color="000000" w:themeColor="text1"/>
        </w:rPr>
        <w:noBreakHyphen/>
      </w:r>
      <w:r w:rsidRPr="000C7A51">
        <w:rPr>
          <w:color w:val="000000" w:themeColor="text1"/>
          <w:u w:color="000000" w:themeColor="text1"/>
        </w:rPr>
        <w:t>in</w:t>
      </w:r>
      <w:r w:rsidR="00E81102">
        <w:rPr>
          <w:color w:val="000000" w:themeColor="text1"/>
          <w:u w:color="000000" w:themeColor="text1"/>
        </w:rPr>
        <w:noBreakHyphen/>
      </w:r>
      <w:r w:rsidRPr="000C7A51">
        <w:rPr>
          <w:color w:val="000000" w:themeColor="text1"/>
          <w:u w:color="000000" w:themeColor="text1"/>
        </w:rPr>
        <w:t>charge shall submit the information required pursuant to subsection (A) electronically to Drug Control within twenty</w:t>
      </w:r>
      <w:r w:rsidR="00E81102">
        <w:rPr>
          <w:color w:val="000000" w:themeColor="text1"/>
          <w:u w:color="000000" w:themeColor="text1"/>
        </w:rPr>
        <w:noBreakHyphen/>
      </w:r>
      <w:r w:rsidRPr="000C7A51">
        <w:rPr>
          <w:color w:val="000000" w:themeColor="text1"/>
          <w:u w:color="000000" w:themeColor="text1"/>
        </w:rPr>
        <w:t>four hours of administerin</w:t>
      </w:r>
      <w:r>
        <w:rPr>
          <w:color w:val="000000" w:themeColor="text1"/>
          <w:u w:color="000000" w:themeColor="text1"/>
        </w:rPr>
        <w:t>g the opioid antidote.</w:t>
      </w:r>
    </w:p>
    <w:p w:rsidR="00F97131" w:rsidRPr="000C7A51"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C7A51">
        <w:rPr>
          <w:color w:val="000000" w:themeColor="text1"/>
          <w:u w:color="000000" w:themeColor="text1"/>
        </w:rPr>
        <w:t>C)(1)</w:t>
      </w:r>
      <w:r>
        <w:rPr>
          <w:color w:val="000000" w:themeColor="text1"/>
          <w:u w:color="000000" w:themeColor="text1"/>
        </w:rPr>
        <w:tab/>
      </w:r>
      <w:r w:rsidRPr="000C7A51">
        <w:rPr>
          <w:color w:val="000000" w:themeColor="text1"/>
          <w:u w:color="000000" w:themeColor="text1"/>
        </w:rPr>
        <w:t>After a supervising physician or institutional pharmacy</w:t>
      </w:r>
      <w:r w:rsidR="00E81102" w:rsidRPr="00E81102">
        <w:rPr>
          <w:color w:val="000000" w:themeColor="text1"/>
          <w:u w:color="000000" w:themeColor="text1"/>
        </w:rPr>
        <w:t>’</w:t>
      </w:r>
      <w:r w:rsidRPr="000C7A51">
        <w:rPr>
          <w:color w:val="000000" w:themeColor="text1"/>
          <w:u w:color="000000" w:themeColor="text1"/>
        </w:rPr>
        <w:t>s pharmacist</w:t>
      </w:r>
      <w:r w:rsidR="00E81102">
        <w:rPr>
          <w:color w:val="000000" w:themeColor="text1"/>
          <w:u w:color="000000" w:themeColor="text1"/>
        </w:rPr>
        <w:noBreakHyphen/>
      </w:r>
      <w:r w:rsidRPr="000C7A51">
        <w:rPr>
          <w:color w:val="000000" w:themeColor="text1"/>
          <w:u w:color="000000" w:themeColor="text1"/>
        </w:rPr>
        <w:t>in</w:t>
      </w:r>
      <w:r w:rsidR="00E81102">
        <w:rPr>
          <w:color w:val="000000" w:themeColor="text1"/>
          <w:u w:color="000000" w:themeColor="text1"/>
        </w:rPr>
        <w:noBreakHyphen/>
      </w:r>
      <w:r w:rsidRPr="000C7A51">
        <w:rPr>
          <w:color w:val="000000" w:themeColor="text1"/>
          <w:u w:color="000000" w:themeColor="text1"/>
        </w:rPr>
        <w:t xml:space="preserve">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8E2534" w:rsidRDefault="00F97131" w:rsidP="00F9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Drug Control also shall maintain data on the administering of opioid antidotes as required by this section including, but not limited to, the frequency with which opioid antidotes are administered in hospital emergency departments and other health care facilities by geographic location.</w:t>
      </w:r>
      <w:r w:rsidR="00D35D61" w:rsidRPr="00DC054F">
        <w:rPr>
          <w:color w:val="000000" w:themeColor="text1"/>
          <w:u w:color="000000" w:themeColor="text1"/>
        </w:rPr>
        <w:t>”</w:t>
      </w:r>
    </w:p>
    <w:p w:rsidR="00654F66" w:rsidRDefault="00654F66" w:rsidP="00D35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4F66" w:rsidRDefault="00654F66"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130</w:t>
      </w:r>
      <w:r w:rsidR="00E81102">
        <w:rPr>
          <w:color w:val="000000" w:themeColor="text1"/>
          <w:u w:color="000000" w:themeColor="text1"/>
        </w:rPr>
        <w:noBreakHyphen/>
      </w:r>
      <w:r w:rsidRPr="00172FB7">
        <w:rPr>
          <w:color w:val="000000" w:themeColor="text1"/>
          <w:u w:color="000000" w:themeColor="text1"/>
        </w:rPr>
        <w:t>60 of the 1976 Code is amended by adding a</w:t>
      </w:r>
      <w:r>
        <w:rPr>
          <w:color w:val="000000" w:themeColor="text1"/>
          <w:u w:color="000000" w:themeColor="text1"/>
        </w:rPr>
        <w:t>n appropriately lettered</w:t>
      </w:r>
      <w:r w:rsidRPr="00172FB7">
        <w:rPr>
          <w:color w:val="000000" w:themeColor="text1"/>
          <w:u w:color="000000" w:themeColor="text1"/>
        </w:rPr>
        <w:t xml:space="preserve"> subsection at the end to read:</w:t>
      </w:r>
    </w:p>
    <w:p w:rsidR="00654F66" w:rsidRDefault="00654F66"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12A7" w:rsidRPr="000C7A51" w:rsidRDefault="00654F66"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5D61" w:rsidRPr="00DC054F">
        <w:rPr>
          <w:color w:val="000000" w:themeColor="text1"/>
          <w:u w:color="000000" w:themeColor="text1"/>
        </w:rPr>
        <w:t>“</w:t>
      </w:r>
      <w:r w:rsidR="00C012A7" w:rsidRPr="000C7A51">
        <w:rPr>
          <w:color w:val="000000" w:themeColor="text1"/>
          <w:u w:color="000000" w:themeColor="text1"/>
        </w:rPr>
        <w:t>( )(1)</w:t>
      </w:r>
      <w:r w:rsidR="00C012A7">
        <w:rPr>
          <w:color w:val="000000" w:themeColor="text1"/>
          <w:u w:color="000000" w:themeColor="text1"/>
        </w:rPr>
        <w:tab/>
      </w:r>
      <w:r w:rsidR="00C012A7" w:rsidRPr="000C7A51">
        <w:rPr>
          <w:color w:val="000000" w:themeColor="text1"/>
          <w:u w:color="000000" w:themeColor="text1"/>
        </w:rPr>
        <w:t>A first responder who administers an opioid antidote as provided in this section shall report to the department</w:t>
      </w:r>
      <w:r w:rsidR="00E81102" w:rsidRPr="00E81102">
        <w:rPr>
          <w:color w:val="000000" w:themeColor="text1"/>
          <w:u w:color="000000" w:themeColor="text1"/>
        </w:rPr>
        <w:t>’</w:t>
      </w:r>
      <w:r w:rsidR="00C012A7" w:rsidRPr="000C7A51">
        <w:rPr>
          <w:color w:val="000000" w:themeColor="text1"/>
          <w:u w:color="000000" w:themeColor="text1"/>
        </w:rPr>
        <w:t>s Bureau of Drug Control information regarding the opioid antidote administered for inclusion in the prescription monitoring program. The info</w:t>
      </w:r>
      <w:r w:rsidR="00C012A7">
        <w:rPr>
          <w:color w:val="000000" w:themeColor="text1"/>
          <w:u w:color="000000" w:themeColor="text1"/>
        </w:rPr>
        <w:t>rmation submitted must include:</w:t>
      </w:r>
    </w:p>
    <w:p w:rsidR="00504413"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(a)</w:t>
      </w:r>
      <w:r>
        <w:rPr>
          <w:color w:val="000000" w:themeColor="text1"/>
          <w:u w:color="000000" w:themeColor="text1"/>
        </w:rPr>
        <w:tab/>
      </w:r>
      <w:r w:rsidR="00504413">
        <w:rPr>
          <w:color w:val="000000" w:themeColor="text1"/>
          <w:u w:color="000000" w:themeColor="text1"/>
        </w:rPr>
        <w:t>date the opioid antidote was administered;</w:t>
      </w:r>
    </w:p>
    <w:p w:rsidR="00C012A7" w:rsidRPr="000C7A51" w:rsidRDefault="00504413"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012A7">
        <w:rPr>
          <w:color w:val="000000" w:themeColor="text1"/>
          <w:u w:color="000000" w:themeColor="text1"/>
        </w:rPr>
        <w:tab/>
      </w:r>
      <w:r w:rsidR="00C012A7">
        <w:rPr>
          <w:color w:val="000000" w:themeColor="text1"/>
          <w:u w:color="000000" w:themeColor="text1"/>
        </w:rPr>
        <w:tab/>
      </w:r>
      <w:r w:rsidR="00C012A7" w:rsidRPr="000C7A51">
        <w:rPr>
          <w:color w:val="000000" w:themeColor="text1"/>
          <w:u w:color="000000" w:themeColor="text1"/>
        </w:rPr>
        <w:t>(b)</w:t>
      </w:r>
      <w:r w:rsidR="00C012A7">
        <w:rPr>
          <w:color w:val="000000" w:themeColor="text1"/>
          <w:u w:color="000000" w:themeColor="text1"/>
        </w:rPr>
        <w:tab/>
      </w:r>
      <w:r w:rsidR="00C012A7" w:rsidRPr="000C7A51">
        <w:rPr>
          <w:color w:val="000000" w:themeColor="text1"/>
          <w:u w:color="000000" w:themeColor="text1"/>
        </w:rPr>
        <w:t>dosage of opioid antidote administered and route of administration;</w:t>
      </w:r>
    </w:p>
    <w:p w:rsidR="00C012A7"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(c)</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 and</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(d)</w:t>
      </w:r>
      <w:r>
        <w:rPr>
          <w:color w:val="000000" w:themeColor="text1"/>
          <w:u w:color="000000" w:themeColor="text1"/>
        </w:rPr>
        <w:tab/>
      </w:r>
      <w:r w:rsidRPr="000C7A51">
        <w:rPr>
          <w:color w:val="000000" w:themeColor="text1"/>
          <w:u w:color="000000" w:themeColor="text1"/>
        </w:rPr>
        <w:t xml:space="preserve">dispenser from which the opioid </w:t>
      </w:r>
      <w:r>
        <w:rPr>
          <w:color w:val="000000" w:themeColor="text1"/>
          <w:u w:color="000000" w:themeColor="text1"/>
        </w:rPr>
        <w:t>antidote was obtained.</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A first responder shall submit the information required pursuant to item (1) electronically to Drug Control within seventy</w:t>
      </w:r>
      <w:r w:rsidR="00E81102">
        <w:rPr>
          <w:color w:val="000000" w:themeColor="text1"/>
          <w:u w:color="000000" w:themeColor="text1"/>
        </w:rPr>
        <w:noBreakHyphen/>
      </w:r>
      <w:r>
        <w:rPr>
          <w:color w:val="000000" w:themeColor="text1"/>
          <w:u w:color="000000" w:themeColor="text1"/>
        </w:rPr>
        <w:t>two hours of administration.</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(3)(a)</w:t>
      </w:r>
      <w:r>
        <w:rPr>
          <w:color w:val="000000" w:themeColor="text1"/>
          <w:u w:color="000000" w:themeColor="text1"/>
        </w:rPr>
        <w:tab/>
      </w:r>
      <w:r w:rsidRPr="000C7A51">
        <w:rPr>
          <w:color w:val="000000" w:themeColor="text1"/>
          <w:u w:color="000000" w:themeColor="text1"/>
        </w:rPr>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654F66"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00654F66" w:rsidRPr="00172FB7">
        <w:rPr>
          <w:color w:val="000000" w:themeColor="text1"/>
          <w:u w:color="000000" w:themeColor="text1"/>
        </w:rPr>
        <w:t>”</w:t>
      </w:r>
    </w:p>
    <w:p w:rsidR="00F31415" w:rsidRDefault="00F31415"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1415" w:rsidRDefault="00F31415"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53</w:t>
      </w:r>
      <w:r w:rsidR="00E81102">
        <w:rPr>
          <w:color w:val="000000" w:themeColor="text1"/>
          <w:u w:color="000000" w:themeColor="text1"/>
        </w:rPr>
        <w:noBreakHyphen/>
      </w:r>
      <w:r w:rsidRPr="00172FB7">
        <w:rPr>
          <w:color w:val="000000" w:themeColor="text1"/>
          <w:u w:color="000000" w:themeColor="text1"/>
        </w:rPr>
        <w:t>1640(A) of the 1976 Code, as last amended by Act 91 of 2017, is further amended to read:</w:t>
      </w:r>
    </w:p>
    <w:p w:rsidR="00F31415" w:rsidRDefault="00C012A7" w:rsidP="00C012A7">
      <w:pPr>
        <w:tabs>
          <w:tab w:val="left" w:pos="720"/>
          <w:tab w:val="left" w:pos="1440"/>
          <w:tab w:val="left" w:pos="2880"/>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F31415" w:rsidRDefault="00F31415" w:rsidP="00DF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25729">
        <w:rPr>
          <w:color w:val="000000" w:themeColor="text1"/>
          <w:u w:color="000000" w:themeColor="text1"/>
        </w:rPr>
        <w:t>(A)</w:t>
      </w:r>
      <w:r w:rsidR="00525729">
        <w:rPr>
          <w:color w:val="000000" w:themeColor="text1"/>
          <w:u w:color="000000" w:themeColor="text1"/>
        </w:rPr>
        <w:tab/>
      </w:r>
      <w:r w:rsidR="003E7CBB" w:rsidRPr="000C7A51">
        <w:rPr>
          <w:color w:val="000000" w:themeColor="text1"/>
          <w:u w:color="000000" w:themeColor="text1"/>
        </w:rPr>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003E7CBB" w:rsidRPr="000C7A51">
        <w:rPr>
          <w:color w:val="000000" w:themeColor="text1"/>
          <w:u w:val="single" w:color="000000" w:themeColor="text1"/>
        </w:rPr>
        <w:t>and the administering of</w:t>
      </w:r>
      <w:r w:rsidR="003E7CBB" w:rsidRPr="000C7A51">
        <w:rPr>
          <w:color w:val="000000" w:themeColor="text1"/>
          <w:u w:color="000000" w:themeColor="text1"/>
        </w:rPr>
        <w:t xml:space="preserve"> </w:t>
      </w:r>
      <w:r w:rsidR="003E7CBB" w:rsidRPr="000C7A51">
        <w:rPr>
          <w:color w:val="000000" w:themeColor="text1"/>
          <w:u w:val="single" w:color="000000" w:themeColor="text1"/>
        </w:rPr>
        <w:t>opioid antidotes pursuant to Sections 44</w:t>
      </w:r>
      <w:r w:rsidR="00E81102">
        <w:rPr>
          <w:color w:val="000000" w:themeColor="text1"/>
          <w:u w:val="single" w:color="000000" w:themeColor="text1"/>
        </w:rPr>
        <w:noBreakHyphen/>
      </w:r>
      <w:r w:rsidR="003E7CBB" w:rsidRPr="000C7A51">
        <w:rPr>
          <w:color w:val="000000" w:themeColor="text1"/>
          <w:u w:val="single" w:color="000000" w:themeColor="text1"/>
        </w:rPr>
        <w:t>130</w:t>
      </w:r>
      <w:r w:rsidR="00E81102">
        <w:rPr>
          <w:color w:val="000000" w:themeColor="text1"/>
          <w:u w:val="single" w:color="000000" w:themeColor="text1"/>
        </w:rPr>
        <w:noBreakHyphen/>
      </w:r>
      <w:r w:rsidR="003E7CBB" w:rsidRPr="000C7A51">
        <w:rPr>
          <w:color w:val="000000" w:themeColor="text1"/>
          <w:u w:val="single" w:color="000000" w:themeColor="text1"/>
        </w:rPr>
        <w:t>60 an</w:t>
      </w:r>
      <w:r w:rsidR="003E7CBB" w:rsidRPr="00E81102">
        <w:rPr>
          <w:color w:val="000000" w:themeColor="text1"/>
          <w:u w:val="single" w:color="000000" w:themeColor="text1"/>
        </w:rPr>
        <w:t>d 4</w:t>
      </w:r>
      <w:r w:rsidR="003E7CBB" w:rsidRPr="000C7A51">
        <w:rPr>
          <w:color w:val="000000" w:themeColor="text1"/>
          <w:u w:val="single" w:color="000000" w:themeColor="text1"/>
        </w:rPr>
        <w:t>4</w:t>
      </w:r>
      <w:r w:rsidR="00E81102">
        <w:rPr>
          <w:color w:val="000000" w:themeColor="text1"/>
          <w:u w:val="single" w:color="000000" w:themeColor="text1"/>
        </w:rPr>
        <w:noBreakHyphen/>
      </w:r>
      <w:r w:rsidR="003E7CBB" w:rsidRPr="000C7A51">
        <w:rPr>
          <w:color w:val="000000" w:themeColor="text1"/>
          <w:u w:val="single" w:color="000000" w:themeColor="text1"/>
        </w:rPr>
        <w:t>130</w:t>
      </w:r>
      <w:r w:rsidR="00E81102">
        <w:rPr>
          <w:color w:val="000000" w:themeColor="text1"/>
          <w:u w:val="single" w:color="000000" w:themeColor="text1"/>
        </w:rPr>
        <w:noBreakHyphen/>
      </w:r>
      <w:r w:rsidR="003E7CBB" w:rsidRPr="000C7A51">
        <w:rPr>
          <w:color w:val="000000" w:themeColor="text1"/>
          <w:u w:val="single" w:color="000000" w:themeColor="text1"/>
        </w:rPr>
        <w:t>70</w:t>
      </w:r>
      <w:r w:rsidR="003E7CBB" w:rsidRPr="000C7A51">
        <w:rPr>
          <w:color w:val="000000" w:themeColor="text1"/>
          <w:u w:color="000000" w:themeColor="text1"/>
        </w:rPr>
        <w:t>.</w:t>
      </w:r>
      <w:r>
        <w:t>”</w:t>
      </w:r>
    </w:p>
    <w:p w:rsidR="00DB7F68" w:rsidRDefault="00DB7F68"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F68" w:rsidRDefault="00DB7F68"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53</w:t>
      </w:r>
      <w:r w:rsidR="00E81102">
        <w:rPr>
          <w:color w:val="000000" w:themeColor="text1"/>
          <w:u w:color="000000" w:themeColor="text1"/>
        </w:rPr>
        <w:noBreakHyphen/>
      </w:r>
      <w:r w:rsidRPr="00172FB7">
        <w:rPr>
          <w:color w:val="000000" w:themeColor="text1"/>
          <w:u w:color="000000" w:themeColor="text1"/>
        </w:rPr>
        <w:t>1645(A) of the 1976 Code, as added by Act 91 of 2017, is amended to read:</w:t>
      </w:r>
    </w:p>
    <w:p w:rsidR="00DB7F68" w:rsidRDefault="00525729"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D31E7" w:rsidRPr="000C7A51">
        <w:rPr>
          <w:color w:val="000000" w:themeColor="text1"/>
          <w:u w:color="000000" w:themeColor="text1"/>
        </w:rPr>
        <w:t>A practitioner, or the practitioner</w:t>
      </w:r>
      <w:r w:rsidR="00E81102" w:rsidRPr="00E81102">
        <w:rPr>
          <w:color w:val="000000" w:themeColor="text1"/>
          <w:u w:color="000000" w:themeColor="text1"/>
        </w:rPr>
        <w:t>’</w:t>
      </w:r>
      <w:r w:rsidR="004D31E7" w:rsidRPr="000C7A51">
        <w:rPr>
          <w:color w:val="000000" w:themeColor="text1"/>
          <w:u w:color="000000" w:themeColor="text1"/>
        </w:rPr>
        <w:t>s authorized delegate, shall review a patient</w:t>
      </w:r>
      <w:r w:rsidR="00E81102" w:rsidRPr="00E81102">
        <w:rPr>
          <w:color w:val="000000" w:themeColor="text1"/>
          <w:u w:color="000000" w:themeColor="text1"/>
        </w:rPr>
        <w:t>’</w:t>
      </w:r>
      <w:r w:rsidR="004D31E7" w:rsidRPr="000C7A51">
        <w:rPr>
          <w:color w:val="000000" w:themeColor="text1"/>
          <w:u w:color="000000" w:themeColor="text1"/>
        </w:rPr>
        <w:t xml:space="preserve">s controlled substance prescription history </w:t>
      </w:r>
      <w:r w:rsidR="004D31E7" w:rsidRPr="000C7A51">
        <w:rPr>
          <w:color w:val="000000" w:themeColor="text1"/>
          <w:u w:val="single" w:color="000000" w:themeColor="text1"/>
        </w:rPr>
        <w:t>and</w:t>
      </w:r>
      <w:r w:rsidR="004D31E7" w:rsidRPr="000C7A51">
        <w:rPr>
          <w:color w:val="000000" w:themeColor="text1"/>
          <w:u w:color="000000" w:themeColor="text1"/>
        </w:rPr>
        <w:t xml:space="preserve"> </w:t>
      </w:r>
      <w:r w:rsidR="004D31E7" w:rsidRPr="000C7A51">
        <w:rPr>
          <w:color w:val="000000" w:themeColor="text1"/>
          <w:u w:val="single" w:color="000000" w:themeColor="text1"/>
        </w:rPr>
        <w:t>history of the administering of an opioid antidote to t</w:t>
      </w:r>
      <w:r w:rsidR="004D31E7" w:rsidRPr="00E81102">
        <w:rPr>
          <w:color w:val="000000" w:themeColor="text1"/>
          <w:u w:val="single" w:color="000000" w:themeColor="text1"/>
        </w:rPr>
        <w:t>he pa</w:t>
      </w:r>
      <w:r w:rsidR="004D31E7" w:rsidRPr="000C7A51">
        <w:rPr>
          <w:color w:val="000000" w:themeColor="text1"/>
          <w:u w:val="single" w:color="000000" w:themeColor="text1"/>
        </w:rPr>
        <w:t>tient pursuant to Section 44</w:t>
      </w:r>
      <w:r w:rsidR="00E81102">
        <w:rPr>
          <w:color w:val="000000" w:themeColor="text1"/>
          <w:u w:val="single" w:color="000000" w:themeColor="text1"/>
        </w:rPr>
        <w:noBreakHyphen/>
      </w:r>
      <w:r w:rsidR="004D31E7" w:rsidRPr="000C7A51">
        <w:rPr>
          <w:color w:val="000000" w:themeColor="text1"/>
          <w:u w:val="single" w:color="000000" w:themeColor="text1"/>
        </w:rPr>
        <w:t>130</w:t>
      </w:r>
      <w:r w:rsidR="00E81102">
        <w:rPr>
          <w:color w:val="000000" w:themeColor="text1"/>
          <w:u w:val="single" w:color="000000" w:themeColor="text1"/>
        </w:rPr>
        <w:noBreakHyphen/>
      </w:r>
      <w:r w:rsidR="004D31E7" w:rsidRPr="000C7A51">
        <w:rPr>
          <w:color w:val="000000" w:themeColor="text1"/>
          <w:u w:val="single" w:color="000000" w:themeColor="text1"/>
        </w:rPr>
        <w:t>60 or 44</w:t>
      </w:r>
      <w:r w:rsidR="00E81102">
        <w:rPr>
          <w:color w:val="000000" w:themeColor="text1"/>
          <w:u w:val="single" w:color="000000" w:themeColor="text1"/>
        </w:rPr>
        <w:noBreakHyphen/>
      </w:r>
      <w:r w:rsidR="004D31E7" w:rsidRPr="000C7A51">
        <w:rPr>
          <w:color w:val="000000" w:themeColor="text1"/>
          <w:u w:val="single" w:color="000000" w:themeColor="text1"/>
        </w:rPr>
        <w:t>130</w:t>
      </w:r>
      <w:r w:rsidR="00E81102">
        <w:rPr>
          <w:color w:val="000000" w:themeColor="text1"/>
          <w:u w:val="single" w:color="000000" w:themeColor="text1"/>
        </w:rPr>
        <w:noBreakHyphen/>
      </w:r>
      <w:r w:rsidR="004D31E7" w:rsidRPr="000C7A51">
        <w:rPr>
          <w:color w:val="000000" w:themeColor="text1"/>
          <w:u w:val="single" w:color="000000" w:themeColor="text1"/>
        </w:rPr>
        <w:t>70</w:t>
      </w:r>
      <w:r w:rsidR="004D31E7" w:rsidRPr="000C7A51">
        <w:rPr>
          <w:color w:val="000000" w:themeColor="text1"/>
          <w:u w:color="000000" w:themeColor="text1"/>
        </w:rPr>
        <w:t>, as maintained in the prescription monitoring program, before the practitioner issues a prescription for a Schedule II controlled substance. If an authorized delegate reviews a patient</w:t>
      </w:r>
      <w:r w:rsidR="00E81102" w:rsidRPr="00E81102">
        <w:rPr>
          <w:color w:val="000000" w:themeColor="text1"/>
          <w:u w:color="000000" w:themeColor="text1"/>
        </w:rPr>
        <w:t>’</w:t>
      </w:r>
      <w:r w:rsidR="004D31E7" w:rsidRPr="000C7A51">
        <w:rPr>
          <w:color w:val="000000" w:themeColor="text1"/>
          <w:u w:color="000000" w:themeColor="text1"/>
        </w:rPr>
        <w:t xml:space="preserve">s controlled substance prescription history </w:t>
      </w:r>
      <w:r w:rsidR="004D31E7" w:rsidRPr="000C7A51">
        <w:rPr>
          <w:color w:val="000000" w:themeColor="text1"/>
          <w:u w:val="single" w:color="000000" w:themeColor="text1"/>
        </w:rPr>
        <w:t>and history of the administering of an opio</w:t>
      </w:r>
      <w:r w:rsidR="004D31E7" w:rsidRPr="00B71010">
        <w:rPr>
          <w:color w:val="000000" w:themeColor="text1"/>
          <w:u w:val="single" w:color="000000" w:themeColor="text1"/>
        </w:rPr>
        <w:t>id a</w:t>
      </w:r>
      <w:r w:rsidR="004D31E7" w:rsidRPr="000C7A51">
        <w:rPr>
          <w:color w:val="000000" w:themeColor="text1"/>
          <w:u w:val="single" w:color="000000" w:themeColor="text1"/>
        </w:rPr>
        <w:t>ntidote to the patient as provided in this subsection</w:t>
      </w:r>
      <w:r w:rsidR="004D31E7" w:rsidRPr="000C7A51">
        <w:rPr>
          <w:color w:val="000000" w:themeColor="text1"/>
          <w:u w:color="000000" w:themeColor="text1"/>
        </w:rPr>
        <w:t xml:space="preserve">, the practitioner must consult with the authorized delegate regarding the prescription </w:t>
      </w:r>
      <w:r w:rsidR="004D31E7" w:rsidRPr="000C7A51">
        <w:rPr>
          <w:color w:val="000000" w:themeColor="text1"/>
          <w:u w:val="single" w:color="000000" w:themeColor="text1"/>
        </w:rPr>
        <w:t xml:space="preserve">and opioid </w:t>
      </w:r>
      <w:r w:rsidR="004D31E7" w:rsidRPr="000C7A51">
        <w:rPr>
          <w:color w:val="000000" w:themeColor="text1"/>
          <w:u w:val="single" w:color="000000" w:themeColor="text1"/>
        </w:rPr>
        <w:lastRenderedPageBreak/>
        <w:t>antidote administering</w:t>
      </w:r>
      <w:r w:rsidR="004D31E7" w:rsidRPr="000C7A51">
        <w:rPr>
          <w:color w:val="000000" w:themeColor="text1"/>
          <w:u w:color="000000" w:themeColor="text1"/>
        </w:rPr>
        <w:t xml:space="preserve"> history before issuing a prescription for a Schedule II controlled substance. The consultation must be documented in the patient</w:t>
      </w:r>
      <w:r w:rsidR="00E81102" w:rsidRPr="00E81102">
        <w:rPr>
          <w:color w:val="000000" w:themeColor="text1"/>
          <w:u w:color="000000" w:themeColor="text1"/>
        </w:rPr>
        <w:t>’</w:t>
      </w:r>
      <w:r w:rsidR="004D31E7" w:rsidRPr="000C7A51">
        <w:rPr>
          <w:color w:val="000000" w:themeColor="text1"/>
          <w:u w:color="000000" w:themeColor="text1"/>
        </w:rPr>
        <w:t>s medical record.</w:t>
      </w:r>
      <w:r w:rsidR="004D31E7">
        <w:rPr>
          <w:color w:val="000000" w:themeColor="text1"/>
          <w:u w:color="000000" w:themeColor="text1"/>
        </w:rPr>
        <w:t>”</w:t>
      </w: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7F68">
        <w:t>5</w:t>
      </w:r>
      <w:r>
        <w:t>.</w:t>
      </w:r>
      <w:r>
        <w:tab/>
        <w:t>This act takes effect upon approval by the Governor.</w:t>
      </w:r>
    </w:p>
    <w:p w:rsidR="00F72E30" w:rsidRDefault="00E81102" w:rsidP="00A5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0B6" w:rsidRDefault="00D210B6" w:rsidP="00D210B6">
      <w:pPr>
        <w:suppressAutoHyphens/>
      </w:pPr>
    </w:p>
    <w:sectPr w:rsidR="00D210B6" w:rsidSect="00E402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038" w:rsidRDefault="009E5038" w:rsidP="009F0C77">
      <w:r>
        <w:separator/>
      </w:r>
    </w:p>
  </w:endnote>
  <w:endnote w:type="continuationSeparator" w:id="0">
    <w:p w:rsidR="009E5038" w:rsidRDefault="009E5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FCD566-055E-43B2-9790-1358FCDED39D}"/>
    <w:embedBold r:id="rId2" w:fontKey="{BFF38FC9-A8BE-4CAF-85C3-AA54732B17A9}"/>
  </w:font>
  <w:font w:name="Calibri">
    <w:panose1 w:val="020F0502020204030204"/>
    <w:charset w:val="00"/>
    <w:family w:val="swiss"/>
    <w:pitch w:val="variable"/>
    <w:sig w:usb0="E00002FF" w:usb1="4000ACFF" w:usb2="00000001" w:usb3="00000000" w:csb0="0000019F" w:csb1="00000000"/>
    <w:embedRegular r:id="rId3" w:fontKey="{33716945-7A4A-4F9F-8549-556A42FFE80A}"/>
  </w:font>
  <w:font w:name="Segoe UI">
    <w:panose1 w:val="020B0502040204020203"/>
    <w:charset w:val="00"/>
    <w:family w:val="swiss"/>
    <w:pitch w:val="variable"/>
    <w:sig w:usb0="E10022FF" w:usb1="C000E47F" w:usb2="00000029" w:usb3="00000000" w:csb0="000001DF" w:csb1="00000000"/>
    <w:embedRegular r:id="rId4" w:fontKey="{2149A2FB-1C84-4879-8556-F99FFE6A8634}"/>
  </w:font>
  <w:font w:name="Cambria">
    <w:panose1 w:val="02040503050406030204"/>
    <w:charset w:val="00"/>
    <w:family w:val="roman"/>
    <w:pitch w:val="variable"/>
    <w:sig w:usb0="E00002FF" w:usb1="400004FF" w:usb2="00000000" w:usb3="00000000" w:csb0="0000019F" w:csb1="00000000"/>
    <w:embedRegular r:id="rId5" w:fontKey="{525CF2D2-3B67-4898-801C-3EAB98F3E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E30" w:rsidRPr="00740A63" w:rsidRDefault="00740A63" w:rsidP="00740A63">
    <w:pPr>
      <w:pStyle w:val="Footer"/>
      <w:tabs>
        <w:tab w:val="clear" w:pos="4680"/>
        <w:tab w:val="clear" w:pos="9360"/>
        <w:tab w:val="center" w:pos="2995"/>
      </w:tabs>
      <w:spacing w:before="120"/>
    </w:pPr>
    <w:r>
      <w:t>[4602</w:t>
    </w:r>
    <w:r w:rsidR="00E4024E">
      <w:t>-</w:t>
    </w:r>
    <w:r w:rsidR="00E4024E">
      <w:fldChar w:fldCharType="begin"/>
    </w:r>
    <w:r w:rsidR="00E4024E">
      <w:instrText xml:space="preserve"> PAGE  \* MERGEFORMAT </w:instrText>
    </w:r>
    <w:r w:rsidR="00E4024E">
      <w:fldChar w:fldCharType="separate"/>
    </w:r>
    <w:r w:rsidR="00D210B6">
      <w:rPr>
        <w:noProof/>
      </w:rPr>
      <w:t>3</w:t>
    </w:r>
    <w:r w:rsidR="00E4024E">
      <w:fldChar w:fldCharType="end"/>
    </w:r>
    <w:r w:rsidR="00E402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24E" w:rsidRPr="00740A63" w:rsidRDefault="00E4024E" w:rsidP="00740A63">
    <w:pPr>
      <w:pStyle w:val="Footer"/>
      <w:tabs>
        <w:tab w:val="clear" w:pos="4680"/>
        <w:tab w:val="clear" w:pos="9360"/>
        <w:tab w:val="center" w:pos="2995"/>
      </w:tabs>
      <w:spacing w:before="120"/>
    </w:pPr>
    <w:r>
      <w:t>[4602]</w:t>
    </w:r>
    <w:r>
      <w:tab/>
    </w:r>
    <w:r>
      <w:fldChar w:fldCharType="begin"/>
    </w:r>
    <w:r>
      <w:instrText xml:space="preserve"> PAGE  \* MERGEFORMAT </w:instrText>
    </w:r>
    <w:r>
      <w:fldChar w:fldCharType="separate"/>
    </w:r>
    <w:r w:rsidR="00D210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038" w:rsidRDefault="009E5038" w:rsidP="009F0C77">
      <w:r>
        <w:separator/>
      </w:r>
    </w:p>
  </w:footnote>
  <w:footnote w:type="continuationSeparator" w:id="0">
    <w:p w:rsidR="009E5038" w:rsidRDefault="009E5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0VR18"/>
    <w:docVar w:name="CoverBillType" w:val="b"/>
    <w:docVar w:name="DocPath" w:val="L:\Council\bills\CC\15190VR18.DOCX"/>
    <w:docVar w:name="dvBillNumber" w:val="4602"/>
    <w:docVar w:name="dvBillNumberPrefix" w:val="H. "/>
    <w:docVar w:name="dvOriginalBody" w:val="House"/>
    <w:docVar w:name="dvSteno" w:val="CC"/>
    <w:docVar w:name="NameofBody" w:val="h"/>
    <w:docVar w:name="vGroup2" w:val="Council"/>
  </w:docVars>
  <w:rsids>
    <w:rsidRoot w:val="009E5038"/>
    <w:rsid w:val="00011869"/>
    <w:rsid w:val="00015CD6"/>
    <w:rsid w:val="00030039"/>
    <w:rsid w:val="000456B5"/>
    <w:rsid w:val="000A175F"/>
    <w:rsid w:val="000A7CE3"/>
    <w:rsid w:val="000E0100"/>
    <w:rsid w:val="000E1785"/>
    <w:rsid w:val="000F40FA"/>
    <w:rsid w:val="001035F1"/>
    <w:rsid w:val="0010776B"/>
    <w:rsid w:val="00133E66"/>
    <w:rsid w:val="001435A3"/>
    <w:rsid w:val="00146ED3"/>
    <w:rsid w:val="00151044"/>
    <w:rsid w:val="0018453A"/>
    <w:rsid w:val="001D08F2"/>
    <w:rsid w:val="001D3A58"/>
    <w:rsid w:val="001D525B"/>
    <w:rsid w:val="001D7F4F"/>
    <w:rsid w:val="00205238"/>
    <w:rsid w:val="00215676"/>
    <w:rsid w:val="002321B6"/>
    <w:rsid w:val="00250967"/>
    <w:rsid w:val="002543C8"/>
    <w:rsid w:val="0025541D"/>
    <w:rsid w:val="00284AAE"/>
    <w:rsid w:val="002861C3"/>
    <w:rsid w:val="002E5912"/>
    <w:rsid w:val="00301B21"/>
    <w:rsid w:val="00303CCF"/>
    <w:rsid w:val="003248C9"/>
    <w:rsid w:val="00325348"/>
    <w:rsid w:val="0032732C"/>
    <w:rsid w:val="00336AD0"/>
    <w:rsid w:val="0037079A"/>
    <w:rsid w:val="003C4DAB"/>
    <w:rsid w:val="003D01E8"/>
    <w:rsid w:val="003E5288"/>
    <w:rsid w:val="003E7CBB"/>
    <w:rsid w:val="003F6D79"/>
    <w:rsid w:val="00412D66"/>
    <w:rsid w:val="0041760A"/>
    <w:rsid w:val="00417C01"/>
    <w:rsid w:val="00431FB7"/>
    <w:rsid w:val="004403BD"/>
    <w:rsid w:val="00461441"/>
    <w:rsid w:val="00477C4C"/>
    <w:rsid w:val="004809EE"/>
    <w:rsid w:val="004C7290"/>
    <w:rsid w:val="004D31E7"/>
    <w:rsid w:val="004E5F8D"/>
    <w:rsid w:val="004E7D54"/>
    <w:rsid w:val="00504413"/>
    <w:rsid w:val="00525729"/>
    <w:rsid w:val="005273C6"/>
    <w:rsid w:val="00530A69"/>
    <w:rsid w:val="00545593"/>
    <w:rsid w:val="00556EBF"/>
    <w:rsid w:val="00577C6C"/>
    <w:rsid w:val="005A62FE"/>
    <w:rsid w:val="005C2FE2"/>
    <w:rsid w:val="005E2BC9"/>
    <w:rsid w:val="00605102"/>
    <w:rsid w:val="006215AA"/>
    <w:rsid w:val="00627A7F"/>
    <w:rsid w:val="00632FE4"/>
    <w:rsid w:val="00654F66"/>
    <w:rsid w:val="006648BD"/>
    <w:rsid w:val="006913C9"/>
    <w:rsid w:val="0069470D"/>
    <w:rsid w:val="006D58AA"/>
    <w:rsid w:val="006E2702"/>
    <w:rsid w:val="00700659"/>
    <w:rsid w:val="00734F00"/>
    <w:rsid w:val="00740A63"/>
    <w:rsid w:val="00754F94"/>
    <w:rsid w:val="00760B0E"/>
    <w:rsid w:val="007A70AE"/>
    <w:rsid w:val="008035E3"/>
    <w:rsid w:val="008362E8"/>
    <w:rsid w:val="0085786E"/>
    <w:rsid w:val="008A1768"/>
    <w:rsid w:val="008A489F"/>
    <w:rsid w:val="008A4FAF"/>
    <w:rsid w:val="008D6DAC"/>
    <w:rsid w:val="008E2534"/>
    <w:rsid w:val="008F0F33"/>
    <w:rsid w:val="008F4429"/>
    <w:rsid w:val="0091687A"/>
    <w:rsid w:val="0093616F"/>
    <w:rsid w:val="0094021A"/>
    <w:rsid w:val="009B44AF"/>
    <w:rsid w:val="009B5F98"/>
    <w:rsid w:val="009C6A0B"/>
    <w:rsid w:val="009E5038"/>
    <w:rsid w:val="009F0C77"/>
    <w:rsid w:val="009F283D"/>
    <w:rsid w:val="009F4DD1"/>
    <w:rsid w:val="00A02543"/>
    <w:rsid w:val="00A23840"/>
    <w:rsid w:val="00A41684"/>
    <w:rsid w:val="00A51CDD"/>
    <w:rsid w:val="00A64E80"/>
    <w:rsid w:val="00A72847"/>
    <w:rsid w:val="00A72BCD"/>
    <w:rsid w:val="00A741D9"/>
    <w:rsid w:val="00A833AB"/>
    <w:rsid w:val="00A9741D"/>
    <w:rsid w:val="00AC34A2"/>
    <w:rsid w:val="00AD1C9A"/>
    <w:rsid w:val="00AD4B17"/>
    <w:rsid w:val="00B412D4"/>
    <w:rsid w:val="00B71010"/>
    <w:rsid w:val="00BA624F"/>
    <w:rsid w:val="00BD7F7A"/>
    <w:rsid w:val="00BE3C22"/>
    <w:rsid w:val="00BF1304"/>
    <w:rsid w:val="00BF6918"/>
    <w:rsid w:val="00C012A7"/>
    <w:rsid w:val="00C0345E"/>
    <w:rsid w:val="00C31C95"/>
    <w:rsid w:val="00C3483A"/>
    <w:rsid w:val="00C355AE"/>
    <w:rsid w:val="00C72CA6"/>
    <w:rsid w:val="00C74E9D"/>
    <w:rsid w:val="00C826DD"/>
    <w:rsid w:val="00C82FD3"/>
    <w:rsid w:val="00C92819"/>
    <w:rsid w:val="00CC6B7B"/>
    <w:rsid w:val="00CD2089"/>
    <w:rsid w:val="00D139FF"/>
    <w:rsid w:val="00D210B6"/>
    <w:rsid w:val="00D35D61"/>
    <w:rsid w:val="00D73A67"/>
    <w:rsid w:val="00D85D56"/>
    <w:rsid w:val="00D970A9"/>
    <w:rsid w:val="00DB7F68"/>
    <w:rsid w:val="00DF0384"/>
    <w:rsid w:val="00DF3845"/>
    <w:rsid w:val="00E04CE3"/>
    <w:rsid w:val="00E4024E"/>
    <w:rsid w:val="00E41911"/>
    <w:rsid w:val="00E44B57"/>
    <w:rsid w:val="00E81102"/>
    <w:rsid w:val="00E8628F"/>
    <w:rsid w:val="00E92EEF"/>
    <w:rsid w:val="00EF2368"/>
    <w:rsid w:val="00F24442"/>
    <w:rsid w:val="00F31415"/>
    <w:rsid w:val="00F50AE3"/>
    <w:rsid w:val="00F514E9"/>
    <w:rsid w:val="00F655B7"/>
    <w:rsid w:val="00F656BA"/>
    <w:rsid w:val="00F67CF1"/>
    <w:rsid w:val="00F728AA"/>
    <w:rsid w:val="00F72E30"/>
    <w:rsid w:val="00F840F0"/>
    <w:rsid w:val="00F971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E7D50-D8F1-40BE-B065-07DCFBE8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1C3"/>
    <w:rPr>
      <w:rFonts w:ascii="Segoe UI" w:eastAsia="Times New Roman" w:hAnsi="Segoe UI" w:cs="Segoe UI"/>
      <w:sz w:val="18"/>
      <w:szCs w:val="18"/>
    </w:rPr>
  </w:style>
  <w:style w:type="paragraph" w:styleId="NoSpacing">
    <w:name w:val="No Spacing"/>
    <w:uiPriority w:val="1"/>
    <w:qFormat/>
    <w:rsid w:val="00E4024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4722A-AFDA-4176-B669-2BB7C9AA9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7</Pages>
  <Words>1557</Words>
  <Characters>8965</Characters>
  <Application>Microsoft Office Word</Application>
  <DocSecurity>0</DocSecurity>
  <Lines>233</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4602 Text of Previous Version (Mar. 8, 2018) - South Carolina Legislature Online</dc:title>
  <dc:creator>%USERNAME%</dc:creator>
  <cp:lastModifiedBy>Warren Wilson</cp:lastModifiedBy>
  <cp:revision>2</cp:revision>
  <cp:lastPrinted>2018-01-09T16:58:00Z</cp:lastPrinted>
  <dcterms:created xsi:type="dcterms:W3CDTF">2018-03-08T22:22:00Z</dcterms:created>
  <dcterms:modified xsi:type="dcterms:W3CDTF">2018-03-08T22:22:00Z</dcterms:modified>
</cp:coreProperties>
</file>