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470" w:rsidRDefault="00F30470"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A22" w:rsidRDefault="00DB5A22" w:rsidP="00DB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0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ED5" w:rsidRDefault="00347E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AMEND THE CODE OF LAWS OF SOUTH CAROLINA, 1976, BY ADDING ARTICLE 9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sidR="003E12B3">
        <w:rPr>
          <w:color w:val="000000" w:themeColor="text1"/>
        </w:rPr>
        <w:noBreakHyphen/>
      </w:r>
      <w:r>
        <w:rPr>
          <w:color w:val="000000" w:themeColor="text1"/>
        </w:rPr>
        <w:t>32</w:t>
      </w:r>
      <w:r w:rsidR="003E12B3">
        <w:rPr>
          <w:color w:val="000000" w:themeColor="text1"/>
        </w:rPr>
        <w:noBreakHyphen/>
      </w:r>
      <w:r>
        <w:rPr>
          <w:color w:val="000000" w:themeColor="text1"/>
        </w:rPr>
        <w:t>10, RELATING TO DEFINITIONS FOR PURPOSES OF THE COMPREHENSIVE HEALTH EDUCATION ACT, SO AS TO DEFINE THE TERM “TEEN DATING VIOLENCE”; AND TO AMEND SECTIONS 59</w:t>
      </w:r>
      <w:r w:rsidR="003E12B3">
        <w:rPr>
          <w:color w:val="000000" w:themeColor="text1"/>
        </w:rPr>
        <w:noBreakHyphen/>
      </w:r>
      <w:r>
        <w:rPr>
          <w:color w:val="000000" w:themeColor="text1"/>
        </w:rPr>
        <w:t>32</w:t>
      </w:r>
      <w:r w:rsidR="003E12B3">
        <w:rPr>
          <w:color w:val="000000" w:themeColor="text1"/>
        </w:rPr>
        <w:noBreakHyphen/>
      </w:r>
      <w:r>
        <w:rPr>
          <w:color w:val="000000" w:themeColor="text1"/>
        </w:rPr>
        <w:t>20, AS AMENDED, 59</w:t>
      </w:r>
      <w:r w:rsidR="003E12B3">
        <w:rPr>
          <w:color w:val="000000" w:themeColor="text1"/>
        </w:rPr>
        <w:noBreakHyphen/>
      </w:r>
      <w:r>
        <w:rPr>
          <w:color w:val="000000" w:themeColor="text1"/>
        </w:rPr>
        <w:t>32</w:t>
      </w:r>
      <w:r w:rsidR="003E12B3">
        <w:rPr>
          <w:color w:val="000000" w:themeColor="text1"/>
        </w:rPr>
        <w:noBreakHyphen/>
      </w:r>
      <w:r>
        <w:rPr>
          <w:color w:val="000000" w:themeColor="text1"/>
        </w:rPr>
        <w:t>30, AS AMENDED, AND 59</w:t>
      </w:r>
      <w:r w:rsidR="003E12B3">
        <w:rPr>
          <w:color w:val="000000" w:themeColor="text1"/>
        </w:rPr>
        <w:noBreakHyphen/>
      </w:r>
      <w:r>
        <w:rPr>
          <w:color w:val="000000" w:themeColor="text1"/>
        </w:rPr>
        <w:t>32</w:t>
      </w:r>
      <w:r w:rsidR="003E12B3">
        <w:rPr>
          <w:color w:val="000000" w:themeColor="text1"/>
        </w:rPr>
        <w:noBreakHyphen/>
      </w:r>
      <w:r>
        <w:rPr>
          <w:color w:val="000000" w:themeColor="text1"/>
        </w:rPr>
        <w:t>50, ALL RELATING TO THE REQUIREMENTS OF THE COMPREHENSIVE HEALTH EDUCATION ACT, ALL SO AS TO REQUIRE THE INCLUSION OF TEEN DATING VIOLENCE EDUCATION IN THE COMPREHENSIVE HEALTH EDUCATION CURRICULUM AND MAKE CONFORMING CHANGES</w:t>
      </w:r>
      <w:r w:rsidR="00C52437">
        <w:rPr>
          <w:color w:val="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079" w:rsidRDefault="00596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079" w:rsidRDefault="00596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ED5" w:rsidRPr="00E74B04"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74B04">
        <w:t>Chapter 25, Title 16 of the 1976 Code is amended by adding:</w:t>
      </w:r>
    </w:p>
    <w:p w:rsidR="00347ED5" w:rsidRPr="00E74B04"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ED5" w:rsidRPr="00E74B04"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347ED5" w:rsidRPr="00E74B04"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347ED5" w:rsidRPr="00E74B04"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rsidR="003E12B3">
        <w:noBreakHyphen/>
      </w:r>
      <w:r>
        <w:t>25</w:t>
      </w:r>
      <w:r w:rsidR="003E12B3">
        <w:noBreakHyphen/>
      </w:r>
      <w:r>
        <w:t>910.</w:t>
      </w:r>
      <w:r>
        <w:tab/>
        <w:t xml:space="preserve">This act may be cited as the </w:t>
      </w:r>
      <w:r w:rsidR="003E12B3" w:rsidRPr="003E12B3">
        <w:t>‘</w:t>
      </w:r>
      <w:r>
        <w:t>Teen Dating Violence Prevention Act</w:t>
      </w:r>
      <w:r w:rsidR="003E12B3" w:rsidRPr="003E12B3">
        <w:t>’</w:t>
      </w:r>
      <w:r>
        <w: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rsidR="003E12B3">
        <w:noBreakHyphen/>
      </w:r>
      <w:r w:rsidRPr="000502FE">
        <w:t>25</w:t>
      </w:r>
      <w:r w:rsidR="003E12B3">
        <w:noBreakHyphen/>
      </w:r>
      <w:r>
        <w:t>9</w:t>
      </w:r>
      <w:r w:rsidRPr="000502FE">
        <w:t>20.</w:t>
      </w:r>
      <w:r w:rsidRPr="000502FE">
        <w:tab/>
        <w:t>(A)</w:t>
      </w:r>
      <w:r w:rsidRPr="000502FE">
        <w:tab/>
        <w:t>For purposes of this article, the term:</w:t>
      </w: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003E12B3" w:rsidRPr="003E12B3">
        <w:t>‘</w:t>
      </w:r>
      <w:r w:rsidRPr="000502FE">
        <w:t>Teen dating violence</w:t>
      </w:r>
      <w:r w:rsidR="003E12B3" w:rsidRPr="003E12B3">
        <w:t>’</w:t>
      </w:r>
      <w:r w:rsidRPr="000502FE">
        <w:t xml:space="preserve"> means physical, sexual, psychological, or emotional violence between persons, whether heterosexual or same gender, eighteen years of age or younger within a dating relationship. </w:t>
      </w: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003E12B3" w:rsidRPr="003E12B3">
        <w:t>‘</w:t>
      </w:r>
      <w:r w:rsidRPr="000502FE">
        <w:t>Violence</w:t>
      </w:r>
      <w:r w:rsidR="003E12B3" w:rsidRPr="003E12B3">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rsidR="003E12B3">
        <w:noBreakHyphen/>
      </w:r>
      <w:r w:rsidRPr="000502FE">
        <w:t>25</w:t>
      </w:r>
      <w:r w:rsidR="003E12B3">
        <w:noBreakHyphen/>
      </w:r>
      <w:r w:rsidRPr="000502FE">
        <w:t>20(B).  A violation of the provisions of this section is not considered a lesser</w:t>
      </w:r>
      <w:r w:rsidR="003E12B3">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347ED5" w:rsidRPr="000502FE"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rsidR="003E12B3">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sidR="003E12B3">
        <w:rPr>
          <w:color w:val="000000" w:themeColor="text1"/>
          <w:u w:color="000000" w:themeColor="text1"/>
        </w:rPr>
        <w:noBreakHyphen/>
      </w:r>
      <w:r>
        <w:rPr>
          <w:color w:val="000000" w:themeColor="text1"/>
          <w:u w:color="000000" w:themeColor="text1"/>
        </w:rPr>
        <w:t>32</w:t>
      </w:r>
      <w:r w:rsidR="003E12B3">
        <w:rPr>
          <w:color w:val="000000" w:themeColor="text1"/>
          <w:u w:color="000000" w:themeColor="text1"/>
        </w:rPr>
        <w:noBreakHyphen/>
      </w:r>
      <w:r>
        <w:rPr>
          <w:color w:val="000000" w:themeColor="text1"/>
          <w:u w:color="000000" w:themeColor="text1"/>
        </w:rPr>
        <w:t>10 of the 1976 Code is amended by adding an appropriately numbered item at the end to read:</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3E12B3" w:rsidRPr="003E12B3">
        <w:rPr>
          <w:color w:val="000000" w:themeColor="text1"/>
          <w:u w:color="000000" w:themeColor="text1"/>
        </w:rPr>
        <w:t>‘</w:t>
      </w:r>
      <w:r>
        <w:rPr>
          <w:color w:val="000000" w:themeColor="text1"/>
          <w:u w:color="000000" w:themeColor="text1"/>
        </w:rPr>
        <w:t>Teen dating violence</w:t>
      </w:r>
      <w:r w:rsidR="003E12B3" w:rsidRPr="003E12B3">
        <w:rPr>
          <w:color w:val="000000" w:themeColor="text1"/>
          <w:u w:color="000000" w:themeColor="text1"/>
        </w:rPr>
        <w:t>’</w:t>
      </w:r>
      <w:r>
        <w:rPr>
          <w:color w:val="000000" w:themeColor="text1"/>
          <w:u w:color="000000" w:themeColor="text1"/>
        </w:rPr>
        <w:t xml:space="preserve"> means as defined in Section 16</w:t>
      </w:r>
      <w:r w:rsidR="003E12B3">
        <w:rPr>
          <w:color w:val="000000" w:themeColor="text1"/>
          <w:u w:color="000000" w:themeColor="text1"/>
        </w:rPr>
        <w:noBreakHyphen/>
      </w:r>
      <w:r>
        <w:rPr>
          <w:color w:val="000000" w:themeColor="text1"/>
          <w:u w:color="000000" w:themeColor="text1"/>
        </w:rPr>
        <w:t>25</w:t>
      </w:r>
      <w:r w:rsidR="003E12B3">
        <w:rPr>
          <w:color w:val="000000" w:themeColor="text1"/>
          <w:u w:color="000000" w:themeColor="text1"/>
        </w:rPr>
        <w:noBreakHyphen/>
      </w:r>
      <w:r>
        <w:rPr>
          <w:color w:val="000000" w:themeColor="text1"/>
          <w:u w:color="000000" w:themeColor="text1"/>
        </w:rPr>
        <w:t>520.”</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sidR="003E12B3">
        <w:rPr>
          <w:color w:val="000000" w:themeColor="text1"/>
          <w:u w:color="000000" w:themeColor="text1"/>
        </w:rPr>
        <w:noBreakHyphen/>
      </w:r>
      <w:r>
        <w:rPr>
          <w:color w:val="000000" w:themeColor="text1"/>
          <w:u w:color="000000" w:themeColor="text1"/>
        </w:rPr>
        <w:t>32</w:t>
      </w:r>
      <w:r w:rsidR="003E12B3">
        <w:rPr>
          <w:color w:val="000000" w:themeColor="text1"/>
          <w:u w:color="000000" w:themeColor="text1"/>
        </w:rPr>
        <w:noBreakHyphen/>
      </w:r>
      <w:r>
        <w:rPr>
          <w:color w:val="000000" w:themeColor="text1"/>
          <w:u w:color="000000" w:themeColor="text1"/>
        </w:rPr>
        <w:t>20(A) of the 1976 Code, as last amended by Act 293 of 2014, is further amended to read:</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A34C12">
        <w:rPr>
          <w:strike/>
          <w:color w:val="000000"/>
        </w:rPr>
        <w:t>Before August 1, 1988,</w:t>
      </w:r>
      <w:r w:rsidR="00D60AF1">
        <w:rPr>
          <w:strike/>
          <w:color w:val="000000"/>
        </w:rPr>
        <w:t xml:space="preserve"> the</w:t>
      </w:r>
      <w:r w:rsidRPr="008C0FF7">
        <w:rPr>
          <w:color w:val="000000"/>
        </w:rPr>
        <w:t xml:space="preserve"> </w:t>
      </w:r>
      <w:r w:rsidRPr="00D60AF1">
        <w:rPr>
          <w:color w:val="000000"/>
          <w:u w:val="single"/>
        </w:rPr>
        <w:t>The</w:t>
      </w:r>
      <w:r w:rsidRPr="008C0FF7">
        <w:rPr>
          <w:color w:val="000000"/>
        </w:rPr>
        <w:t xml:space="preserv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sidR="003E12B3">
        <w:rPr>
          <w:color w:val="000000" w:themeColor="text1"/>
          <w:u w:color="000000" w:themeColor="text1"/>
        </w:rPr>
        <w:noBreakHyphen/>
      </w:r>
      <w:r>
        <w:rPr>
          <w:color w:val="000000" w:themeColor="text1"/>
          <w:u w:color="000000" w:themeColor="text1"/>
        </w:rPr>
        <w:t>32</w:t>
      </w:r>
      <w:r w:rsidR="003E12B3">
        <w:rPr>
          <w:color w:val="000000" w:themeColor="text1"/>
          <w:u w:color="000000" w:themeColor="text1"/>
        </w:rPr>
        <w:noBreakHyphen/>
      </w:r>
      <w:r>
        <w:rPr>
          <w:color w:val="000000" w:themeColor="text1"/>
          <w:u w:color="000000" w:themeColor="text1"/>
        </w:rPr>
        <w:t>30(A), as last amended by Act 152 of 2016, and (B) of the 1976 Code is amended to read:</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746700">
        <w:t>(A)</w:t>
      </w:r>
      <w:r>
        <w:tab/>
      </w:r>
      <w:r w:rsidRPr="00746700">
        <w:t>Pursuant to guidelines developed by the board, each local school board shall implement the following program of instruction:</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(1)</w:t>
      </w:r>
      <w:r>
        <w:tab/>
      </w:r>
      <w:r w:rsidRPr="00403688">
        <w:rPr>
          <w:strike/>
        </w:rPr>
        <w:t>Beginning with the 1988</w:t>
      </w:r>
      <w:r w:rsidR="003E12B3" w:rsidRPr="00403688">
        <w:rPr>
          <w:strike/>
        </w:rPr>
        <w:noBreakHyphen/>
      </w:r>
      <w:r w:rsidRPr="00403688">
        <w:rPr>
          <w:strike/>
        </w:rPr>
        <w:t>89 school year, for</w:t>
      </w:r>
      <w:r w:rsidRPr="00746700">
        <w:t xml:space="preserve"> </w:t>
      </w:r>
      <w:r w:rsidR="00403688">
        <w:rPr>
          <w:u w:val="single"/>
        </w:rPr>
        <w:t>For</w:t>
      </w:r>
      <w:r w:rsidR="00403688">
        <w:t xml:space="preserve"> </w:t>
      </w:r>
      <w:r w:rsidRPr="00746700">
        <w:t>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3E12B3">
        <w:noBreakHyphen/>
      </w:r>
      <w:r w:rsidRPr="00746700">
        <w:t>appropriate instruction in reproductive health may be included.</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(2)</w:t>
      </w:r>
      <w:r>
        <w:tab/>
      </w:r>
      <w:r w:rsidRPr="00347ED5">
        <w:rPr>
          <w:strike/>
        </w:rPr>
        <w:t>Beginning with the 1988</w:t>
      </w:r>
      <w:r w:rsidR="003E12B3">
        <w:rPr>
          <w:strike/>
        </w:rPr>
        <w:noBreakHyphen/>
      </w:r>
      <w:r w:rsidRPr="00347ED5">
        <w:rPr>
          <w:strike/>
        </w:rPr>
        <w:t>1989 school year, for</w:t>
      </w:r>
      <w:r w:rsidRPr="00746700">
        <w:t xml:space="preserve"> </w:t>
      </w:r>
      <w:r>
        <w:rPr>
          <w:u w:val="single"/>
        </w:rPr>
        <w:t>For</w:t>
      </w:r>
      <w:r>
        <w:t xml:space="preserve"> </w:t>
      </w:r>
      <w:r w:rsidRPr="00746700">
        <w:t xml:space="preserve">grades six through eight, instruction in comprehensive health must include the following subjects: community health, consumer health, </w:t>
      </w:r>
      <w:r w:rsidRPr="00746700">
        <w:lastRenderedPageBreak/>
        <w:t xml:space="preserve">environmental health, growth and development, nutritional health, personal health, prevention and control of diseases and disorders, safety and accident prevention, substance use and abuse, dental health, mental and emotional health, </w:t>
      </w:r>
      <w:r w:rsidRPr="001F202E">
        <w:rPr>
          <w:strike/>
        </w:rPr>
        <w:t>and</w:t>
      </w:r>
      <w:r w:rsidRPr="00746700">
        <w:t xml:space="preserve"> reproductive health education</w:t>
      </w:r>
      <w:r w:rsidR="001F202E">
        <w:rPr>
          <w:u w:val="single"/>
        </w:rPr>
        <w:t>, and teen dating violence education</w:t>
      </w:r>
      <w:r w:rsidRPr="00746700">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3E12B3">
        <w:noBreakHyphen/>
      </w:r>
      <w:r w:rsidRPr="00746700">
        <w:t>2017 school year, for grades six through eight, instruction in comprehensive health education also must include the subject of domestic violence.</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202E">
        <w:rPr>
          <w:strike/>
        </w:rPr>
        <w:t>Beginning with the 1989</w:t>
      </w:r>
      <w:r w:rsidR="003E12B3">
        <w:rPr>
          <w:strike/>
        </w:rPr>
        <w:noBreakHyphen/>
      </w:r>
      <w:r w:rsidRPr="001F202E">
        <w:rPr>
          <w:strike/>
        </w:rPr>
        <w:t>90 school year, at</w:t>
      </w:r>
      <w:r w:rsidRPr="00746700">
        <w:t xml:space="preserve"> </w:t>
      </w:r>
      <w:r w:rsidR="001F202E">
        <w:rPr>
          <w:u w:val="single"/>
        </w:rPr>
        <w:t>At</w:t>
      </w:r>
      <w:r w:rsidR="001F202E">
        <w:t xml:space="preserve"> </w:t>
      </w:r>
      <w:r w:rsidRPr="00746700">
        <w:t>least one time during the four years of grades nine through twelve, each student shall receive instruction in comprehensive health education, including at least seven hundred fifty minutes of reproductive health education</w:t>
      </w:r>
      <w:r w:rsidR="001F202E">
        <w:rPr>
          <w:u w:val="single"/>
        </w:rPr>
        <w:t>,</w:t>
      </w:r>
      <w:r w:rsidRPr="00746700">
        <w:t xml:space="preserve"> </w:t>
      </w:r>
      <w:r w:rsidRPr="001F202E">
        <w:rPr>
          <w:strike/>
        </w:rPr>
        <w:t>and</w:t>
      </w:r>
      <w:r w:rsidRPr="00746700">
        <w:t xml:space="preserve"> pregnancy prevention education</w:t>
      </w:r>
      <w:r w:rsidR="001F202E">
        <w:rPr>
          <w:u w:val="single"/>
        </w:rPr>
        <w:t>, and teen dating violence education</w:t>
      </w:r>
      <w:r w:rsidRPr="00746700">
        <w: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(4)</w:t>
      </w:r>
      <w:r>
        <w:tab/>
      </w:r>
      <w:r w:rsidRPr="00746700">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(5)</w:t>
      </w:r>
      <w:r>
        <w:tab/>
      </w:r>
      <w:r w:rsidRPr="00746700">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rsidR="00BD24BB">
        <w:t xml:space="preserve"> </w:t>
      </w:r>
      <w:r w:rsidR="00BD24BB">
        <w:rPr>
          <w:u w:val="single"/>
        </w:rPr>
        <w:t>or teen dating violence</w:t>
      </w:r>
      <w:r w:rsidRPr="00746700">
        <w: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(6)</w:t>
      </w:r>
      <w:r>
        <w:tab/>
      </w:r>
      <w:r w:rsidRPr="00746700">
        <w:t>In grades nine through twelve, students must also be given appropriate instruction that adoption is a positive alternative.</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(7)</w:t>
      </w:r>
      <w:r>
        <w:tab/>
      </w:r>
      <w:r w:rsidRPr="00746700">
        <w:t>At least one time during the entire four years of grades nine through twelve, each student shall receive instruction in cardiopulmonary resuscitation (CPR), which must include, but not be limited to, hands</w:t>
      </w:r>
      <w:r w:rsidR="003E12B3">
        <w:noBreakHyphen/>
      </w:r>
      <w:r w:rsidRPr="00746700">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3E12B3">
        <w:noBreakHyphen/>
      </w:r>
      <w:r w:rsidRPr="00746700">
        <w:t xml:space="preserve">based emergency cardiovascular </w:t>
      </w:r>
      <w:r w:rsidRPr="00746700">
        <w:lastRenderedPageBreak/>
        <w:t>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3E12B3">
        <w:noBreakHyphen/>
      </w:r>
      <w:r w:rsidRPr="00746700">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3E12B3">
        <w:noBreakHyphen/>
      </w:r>
      <w:r w:rsidRPr="00746700">
        <w:t>only CPR requirement, or a student whose parent or guardian completes, in writing, a form approved by the school district opting out of hands</w:t>
      </w:r>
      <w:r w:rsidR="003E12B3">
        <w:noBreakHyphen/>
      </w:r>
      <w:r w:rsidRPr="00746700">
        <w:t>only CPR instruction and AED awareness. The State Board of Education shall incorporate CPR training and AED awareness into the South Carolina Health and Safety Education Curriculum Standards and promulgate regulations to implement this section.</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t>(B)</w:t>
      </w:r>
      <w:r>
        <w:tab/>
      </w:r>
      <w:r w:rsidRPr="00746700">
        <w:t>Local school boards may use the instructional unit made available by the board pursuant to Section 59</w:t>
      </w:r>
      <w:r w:rsidR="003E12B3">
        <w:noBreakHyphen/>
      </w:r>
      <w:r w:rsidRPr="00746700">
        <w:t>32</w:t>
      </w:r>
      <w:r w:rsidR="003E12B3">
        <w:noBreakHyphen/>
      </w:r>
      <w:r w:rsidRPr="00746700">
        <w:t xml:space="preserve">20, or local boards may develop or select their own instructional materials addressing the subjects of reproductive health education, family life education, </w:t>
      </w:r>
      <w:r w:rsidRPr="00BD24BB">
        <w:rPr>
          <w:strike/>
        </w:rPr>
        <w:t>and</w:t>
      </w:r>
      <w:r w:rsidRPr="00746700">
        <w:t xml:space="preserve"> pregnancy prevention education</w:t>
      </w:r>
      <w:r w:rsidR="00BD24BB">
        <w:rPr>
          <w:u w:val="single"/>
        </w:rPr>
        <w:t>, and teen dating violence education</w:t>
      </w:r>
      <w:r w:rsidRPr="00746700">
        <w:t>. To assist in the selection of components and curriculum materials, each local school board shall appoint a thirteen</w:t>
      </w:r>
      <w:r w:rsidR="003E12B3">
        <w:noBreakHyphen/>
      </w:r>
      <w:r w:rsidRPr="00746700">
        <w:t>member local advisory committee consisting of two parents, three clergy, two health professionals, two teachers, two students, one being the president of the student body of a high school, and two other persons not employed by the local school district.</w:t>
      </w:r>
      <w:r w:rsidR="00777C9E">
        <w:t>”</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sidR="003E12B3">
        <w:rPr>
          <w:color w:val="000000" w:themeColor="text1"/>
          <w:u w:color="000000" w:themeColor="text1"/>
        </w:rPr>
        <w:noBreakHyphen/>
      </w:r>
      <w:r>
        <w:rPr>
          <w:color w:val="000000" w:themeColor="text1"/>
          <w:u w:color="000000" w:themeColor="text1"/>
        </w:rPr>
        <w:t>32</w:t>
      </w:r>
      <w:r w:rsidR="003E12B3">
        <w:rPr>
          <w:color w:val="000000" w:themeColor="text1"/>
          <w:u w:color="000000" w:themeColor="text1"/>
        </w:rPr>
        <w:noBreakHyphen/>
      </w:r>
      <w:r>
        <w:rPr>
          <w:color w:val="000000" w:themeColor="text1"/>
          <w:u w:color="000000" w:themeColor="text1"/>
        </w:rPr>
        <w:t xml:space="preserve">50 of the 1976 Code is amended to read: </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sidR="003E12B3">
        <w:rPr>
          <w:color w:val="000000" w:themeColor="text1"/>
          <w:u w:color="000000" w:themeColor="text1"/>
        </w:rPr>
        <w:noBreakHyphen/>
      </w:r>
      <w:r>
        <w:rPr>
          <w:color w:val="000000" w:themeColor="text1"/>
          <w:u w:color="000000" w:themeColor="text1"/>
        </w:rPr>
        <w:t>32</w:t>
      </w:r>
      <w:r w:rsidR="003E12B3">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003E12B3" w:rsidRPr="003E12B3">
        <w:rPr>
          <w:color w:val="000000"/>
        </w:rPr>
        <w:t>’</w:t>
      </w:r>
      <w:r w:rsidRPr="008C0FF7">
        <w:rPr>
          <w:color w:val="000000"/>
        </w:rPr>
        <w:t>s enrollment in courses using these instructional materials to allow parents and legal guardians the opportunity to preview the materials and exempt their children.</w:t>
      </w:r>
    </w:p>
    <w:p w:rsidR="00347ED5"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lastRenderedPageBreak/>
        <w:tab/>
      </w:r>
      <w:r>
        <w:rPr>
          <w:color w:val="000000"/>
          <w:u w:val="single"/>
        </w:rPr>
        <w:t>(B)</w:t>
      </w:r>
      <w:r>
        <w:rPr>
          <w:color w:val="000000"/>
        </w:rPr>
        <w:tab/>
      </w:r>
      <w:r w:rsidRPr="008C0FF7">
        <w:rPr>
          <w:color w:val="000000"/>
        </w:rPr>
        <w:t>A public school principal, upon receipt of a statement signed by a student</w:t>
      </w:r>
      <w:r w:rsidR="003E12B3" w:rsidRPr="003E12B3">
        <w:rPr>
          <w:color w:val="000000"/>
        </w:rPr>
        <w:t>’</w:t>
      </w:r>
      <w:r w:rsidRPr="008C0FF7">
        <w:rPr>
          <w:color w:val="000000"/>
        </w:rPr>
        <w:t>s parent or legal guardian stating that participation by the student in the health education program conflicts with the family</w:t>
      </w:r>
      <w:r w:rsidR="003E12B3" w:rsidRPr="003E12B3">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347ED5" w:rsidRPr="003160FB" w:rsidRDefault="00347ED5" w:rsidP="0034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079" w:rsidRDefault="00596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7C9E">
        <w:t>6</w:t>
      </w:r>
      <w:r>
        <w:t>.</w:t>
      </w:r>
      <w:r>
        <w:tab/>
        <w:t>This act takes effect upon approval by the Governor.</w:t>
      </w:r>
    </w:p>
    <w:p w:rsidR="007600C5" w:rsidRDefault="003E12B3" w:rsidP="00073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0470" w:rsidRDefault="00F30470" w:rsidP="00F30470">
      <w:pPr>
        <w:suppressAutoHyphens/>
      </w:pPr>
    </w:p>
    <w:sectPr w:rsidR="00F30470" w:rsidSect="00F304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079" w:rsidRDefault="00596079" w:rsidP="009F0C77">
      <w:r>
        <w:separator/>
      </w:r>
    </w:p>
  </w:endnote>
  <w:endnote w:type="continuationSeparator" w:id="0">
    <w:p w:rsidR="00596079" w:rsidRDefault="005960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09ECED-020F-4DFE-BC48-86A314F8916B}"/>
    <w:embedBold r:id="rId2" w:fontKey="{56A2E6DD-6259-46FD-A9BD-754CF30D47F5}"/>
  </w:font>
  <w:font w:name="Calibri">
    <w:panose1 w:val="020F0502020204030204"/>
    <w:charset w:val="00"/>
    <w:family w:val="swiss"/>
    <w:pitch w:val="variable"/>
    <w:sig w:usb0="E00002FF" w:usb1="4000ACFF" w:usb2="00000001" w:usb3="00000000" w:csb0="0000019F" w:csb1="00000000"/>
    <w:embedRegular r:id="rId3" w:fontKey="{7480837C-8556-4983-8193-E257D3DA46A3}"/>
  </w:font>
  <w:font w:name="Segoe UI">
    <w:panose1 w:val="020B0502040204020203"/>
    <w:charset w:val="00"/>
    <w:family w:val="swiss"/>
    <w:pitch w:val="variable"/>
    <w:sig w:usb0="E10022FF" w:usb1="C000E47F" w:usb2="00000029" w:usb3="00000000" w:csb0="000001DF" w:csb1="00000000"/>
    <w:embedRegular r:id="rId4" w:fontKey="{941AED98-E0F1-4159-A293-33DBB4767B3B}"/>
  </w:font>
  <w:font w:name="Cambria">
    <w:panose1 w:val="02040503050406030204"/>
    <w:charset w:val="00"/>
    <w:family w:val="roman"/>
    <w:pitch w:val="variable"/>
    <w:sig w:usb0="E00002FF" w:usb1="400004FF" w:usb2="00000000" w:usb3="00000000" w:csb0="0000019F" w:csb1="00000000"/>
    <w:embedRegular r:id="rId5" w:fontKey="{828C8FB3-F172-40B8-8097-6C76CE3135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C5" w:rsidRPr="00F30470" w:rsidRDefault="00F30470" w:rsidP="00F30470">
    <w:pPr>
      <w:pStyle w:val="Footer"/>
      <w:tabs>
        <w:tab w:val="clear" w:pos="4680"/>
        <w:tab w:val="clear" w:pos="9360"/>
        <w:tab w:val="center" w:pos="2995"/>
      </w:tabs>
      <w:spacing w:before="120"/>
    </w:pPr>
    <w:r>
      <w:t>[4714]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079" w:rsidRDefault="00596079" w:rsidP="009F0C77">
      <w:r>
        <w:separator/>
      </w:r>
    </w:p>
  </w:footnote>
  <w:footnote w:type="continuationSeparator" w:id="0">
    <w:p w:rsidR="00596079" w:rsidRDefault="005960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9AHB18"/>
    <w:docVar w:name="CoverBillType" w:val="b"/>
    <w:docVar w:name="DocPath" w:val="L:\Council\bills\BH\7159AHB18.DOCX"/>
    <w:docVar w:name="dvBillNumber" w:val="4714"/>
    <w:docVar w:name="dvBillNumberPrefix" w:val="H. "/>
    <w:docVar w:name="dvOriginalBody" w:val="House"/>
    <w:docVar w:name="dvSteno" w:val="BH"/>
    <w:docVar w:name="NameofBody" w:val="h"/>
    <w:docVar w:name="vGroup2" w:val="Council"/>
  </w:docVars>
  <w:rsids>
    <w:rsidRoot w:val="00596079"/>
    <w:rsid w:val="00011869"/>
    <w:rsid w:val="00015CD6"/>
    <w:rsid w:val="00073D24"/>
    <w:rsid w:val="000E0100"/>
    <w:rsid w:val="000E1785"/>
    <w:rsid w:val="000F40FA"/>
    <w:rsid w:val="001035F1"/>
    <w:rsid w:val="0010776B"/>
    <w:rsid w:val="00133E66"/>
    <w:rsid w:val="001435A3"/>
    <w:rsid w:val="00146ED3"/>
    <w:rsid w:val="00151044"/>
    <w:rsid w:val="001D08F2"/>
    <w:rsid w:val="001D3A58"/>
    <w:rsid w:val="001D525B"/>
    <w:rsid w:val="001D7F4F"/>
    <w:rsid w:val="001F202E"/>
    <w:rsid w:val="00205238"/>
    <w:rsid w:val="002321B6"/>
    <w:rsid w:val="00250967"/>
    <w:rsid w:val="002543C8"/>
    <w:rsid w:val="0025541D"/>
    <w:rsid w:val="00284AAE"/>
    <w:rsid w:val="002E5912"/>
    <w:rsid w:val="00301B21"/>
    <w:rsid w:val="00325348"/>
    <w:rsid w:val="0032732C"/>
    <w:rsid w:val="00336AD0"/>
    <w:rsid w:val="00347ED5"/>
    <w:rsid w:val="0037079A"/>
    <w:rsid w:val="003A4062"/>
    <w:rsid w:val="003C4DAB"/>
    <w:rsid w:val="003D01E8"/>
    <w:rsid w:val="003E12B3"/>
    <w:rsid w:val="003E5288"/>
    <w:rsid w:val="003F6D79"/>
    <w:rsid w:val="00403688"/>
    <w:rsid w:val="0041760A"/>
    <w:rsid w:val="00417C01"/>
    <w:rsid w:val="004403BD"/>
    <w:rsid w:val="00461441"/>
    <w:rsid w:val="004809EE"/>
    <w:rsid w:val="004E7D54"/>
    <w:rsid w:val="005273C6"/>
    <w:rsid w:val="00530A69"/>
    <w:rsid w:val="00545593"/>
    <w:rsid w:val="00556EBF"/>
    <w:rsid w:val="00562E0A"/>
    <w:rsid w:val="00577C6C"/>
    <w:rsid w:val="00596079"/>
    <w:rsid w:val="005A62FE"/>
    <w:rsid w:val="005C2FE2"/>
    <w:rsid w:val="005E2BC9"/>
    <w:rsid w:val="00605102"/>
    <w:rsid w:val="006215AA"/>
    <w:rsid w:val="006870A9"/>
    <w:rsid w:val="006913C9"/>
    <w:rsid w:val="0069470D"/>
    <w:rsid w:val="006D58AA"/>
    <w:rsid w:val="00734F00"/>
    <w:rsid w:val="007600C5"/>
    <w:rsid w:val="00777C9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24BB"/>
    <w:rsid w:val="00BE3C22"/>
    <w:rsid w:val="00C0345E"/>
    <w:rsid w:val="00C31C95"/>
    <w:rsid w:val="00C3483A"/>
    <w:rsid w:val="00C52437"/>
    <w:rsid w:val="00C74E9D"/>
    <w:rsid w:val="00C826DD"/>
    <w:rsid w:val="00C82FD3"/>
    <w:rsid w:val="00C92819"/>
    <w:rsid w:val="00CC6B7B"/>
    <w:rsid w:val="00CD2089"/>
    <w:rsid w:val="00D60AF1"/>
    <w:rsid w:val="00D73A67"/>
    <w:rsid w:val="00D970A9"/>
    <w:rsid w:val="00DB5A22"/>
    <w:rsid w:val="00DF3845"/>
    <w:rsid w:val="00E41911"/>
    <w:rsid w:val="00E44B57"/>
    <w:rsid w:val="00E92EEF"/>
    <w:rsid w:val="00EF2368"/>
    <w:rsid w:val="00F24442"/>
    <w:rsid w:val="00F3047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3FA290-C022-475D-AA71-99EA7CBE9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1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2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EA567-39D9-4AC6-95F1-48E714E20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6A0B0463.dotm</Template>
  <TotalTime>0</TotalTime>
  <Pages>1</Pages>
  <Words>1784</Words>
  <Characters>9887</Characters>
  <Application>Microsoft Office Word</Application>
  <DocSecurity>0</DocSecurity>
  <Lines>225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4714 Text of Previous Version (Jan. 25, 2018) - South Carolina Legislature Online</dc:title>
  <dc:creator>%USERNAME%</dc:creator>
  <cp:lastModifiedBy>S Volk</cp:lastModifiedBy>
  <cp:revision>2</cp:revision>
  <cp:lastPrinted>2018-01-11T14:38:00Z</cp:lastPrinted>
  <dcterms:created xsi:type="dcterms:W3CDTF">2018-01-25T15:20:00Z</dcterms:created>
  <dcterms:modified xsi:type="dcterms:W3CDTF">2018-01-25T15:20:00Z</dcterms:modified>
</cp:coreProperties>
</file>