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FE2" w:rsidRDefault="009A1FE2" w:rsidP="009A1FE2">
      <w:pPr>
        <w:widowControl w:val="0"/>
        <w:jc w:val="center"/>
      </w:pPr>
      <w:r w:rsidRPr="009A1FE2">
        <w:rPr>
          <w:b/>
        </w:rPr>
        <w:t>South Carolina General Assembly</w:t>
      </w:r>
    </w:p>
    <w:p w:rsidR="009A1FE2" w:rsidRDefault="009A1FE2" w:rsidP="009A1FE2">
      <w:pPr>
        <w:widowControl w:val="0"/>
        <w:jc w:val="center"/>
      </w:pPr>
      <w:r>
        <w:t>123rd Session, 2019-2020</w:t>
      </w:r>
    </w:p>
    <w:p w:rsidR="009A1FE2" w:rsidRDefault="009A1FE2" w:rsidP="009A1FE2">
      <w:pPr>
        <w:widowControl w:val="0"/>
        <w:jc w:val="left"/>
      </w:pPr>
    </w:p>
    <w:p w:rsidR="009A1FE2" w:rsidRDefault="009A1FE2" w:rsidP="009A1FE2">
      <w:pPr>
        <w:widowControl w:val="0"/>
        <w:jc w:val="left"/>
        <w:rPr>
          <w:b/>
        </w:rPr>
      </w:pPr>
      <w:r w:rsidRPr="009A1FE2">
        <w:rPr>
          <w:b/>
        </w:rPr>
        <w:t>H. 4329</w:t>
      </w:r>
    </w:p>
    <w:p w:rsidR="009A1FE2" w:rsidRDefault="009A1FE2" w:rsidP="009A1FE2">
      <w:pPr>
        <w:widowControl w:val="0"/>
        <w:jc w:val="left"/>
        <w:rPr>
          <w:b/>
        </w:rPr>
      </w:pPr>
    </w:p>
    <w:p w:rsidR="009A1FE2" w:rsidRDefault="009A1FE2" w:rsidP="009A1FE2">
      <w:pPr>
        <w:widowControl w:val="0"/>
        <w:jc w:val="left"/>
      </w:pPr>
      <w:r w:rsidRPr="009A1FE2">
        <w:rPr>
          <w:b/>
        </w:rPr>
        <w:t>STATUS INFORMATION</w:t>
      </w:r>
    </w:p>
    <w:p w:rsidR="009A1FE2" w:rsidRDefault="009A1FE2" w:rsidP="009A1FE2">
      <w:pPr>
        <w:widowControl w:val="0"/>
        <w:jc w:val="left"/>
      </w:pPr>
    </w:p>
    <w:p w:rsidR="009A1FE2" w:rsidRDefault="009A1FE2" w:rsidP="009A1FE2">
      <w:pPr>
        <w:widowControl w:val="0"/>
        <w:jc w:val="left"/>
      </w:pPr>
      <w:r>
        <w:t>General Bill</w:t>
      </w:r>
    </w:p>
    <w:p w:rsidR="009A1FE2" w:rsidRDefault="00957F7C" w:rsidP="009A1FE2">
      <w:pPr>
        <w:widowControl w:val="0"/>
        <w:jc w:val="left"/>
      </w:pPr>
      <w:r>
        <w:t>Sponsors: Reps. Mace and Thigpen</w:t>
      </w:r>
    </w:p>
    <w:p w:rsidR="009A1FE2" w:rsidRDefault="009A1FE2" w:rsidP="009A1FE2">
      <w:pPr>
        <w:widowControl w:val="0"/>
        <w:jc w:val="left"/>
      </w:pPr>
      <w:r>
        <w:t>Document Path: l:\council\bills\jn\3053cz19.docx</w:t>
      </w:r>
    </w:p>
    <w:p w:rsidR="009A1FE2" w:rsidRDefault="009A1FE2" w:rsidP="009A1FE2">
      <w:pPr>
        <w:widowControl w:val="0"/>
        <w:jc w:val="left"/>
      </w:pPr>
    </w:p>
    <w:p w:rsidR="009A1FE2" w:rsidRDefault="009A1FE2" w:rsidP="009A1FE2">
      <w:pPr>
        <w:widowControl w:val="0"/>
        <w:jc w:val="left"/>
      </w:pPr>
      <w:r>
        <w:t>Introduced in the House on March 27, 2019</w:t>
      </w:r>
    </w:p>
    <w:p w:rsidR="009A1FE2" w:rsidRDefault="009A1FE2" w:rsidP="009A1FE2">
      <w:pPr>
        <w:widowControl w:val="0"/>
        <w:jc w:val="left"/>
      </w:pPr>
      <w:r>
        <w:t xml:space="preserve">Currently residing in the House Committee on </w:t>
      </w:r>
      <w:r w:rsidRPr="009A1FE2">
        <w:rPr>
          <w:b/>
        </w:rPr>
        <w:t>Judiciary</w:t>
      </w:r>
    </w:p>
    <w:p w:rsidR="009A1FE2" w:rsidRDefault="009A1FE2" w:rsidP="009A1FE2">
      <w:pPr>
        <w:widowControl w:val="0"/>
        <w:jc w:val="left"/>
      </w:pPr>
    </w:p>
    <w:p w:rsidR="009A1FE2" w:rsidRDefault="009A1FE2" w:rsidP="009A1FE2">
      <w:pPr>
        <w:widowControl w:val="0"/>
        <w:jc w:val="left"/>
      </w:pPr>
      <w:r>
        <w:t xml:space="preserve">Summary: </w:t>
      </w:r>
      <w:r w:rsidR="00914A8B">
        <w:t>Rental agreement</w:t>
      </w:r>
    </w:p>
    <w:p w:rsidR="009A1FE2" w:rsidRDefault="009A1FE2" w:rsidP="009A1FE2">
      <w:pPr>
        <w:widowControl w:val="0"/>
        <w:jc w:val="left"/>
      </w:pPr>
    </w:p>
    <w:p w:rsidR="009A1FE2" w:rsidRDefault="009A1FE2" w:rsidP="009A1FE2">
      <w:pPr>
        <w:widowControl w:val="0"/>
        <w:jc w:val="left"/>
      </w:pPr>
    </w:p>
    <w:p w:rsidR="009A1FE2" w:rsidRDefault="009A1FE2" w:rsidP="009A1FE2">
      <w:pPr>
        <w:widowControl w:val="0"/>
        <w:tabs>
          <w:tab w:val="center" w:pos="590"/>
          <w:tab w:val="center" w:pos="1440"/>
          <w:tab w:val="left" w:pos="1872"/>
          <w:tab w:val="left" w:pos="9187"/>
        </w:tabs>
        <w:jc w:val="left"/>
      </w:pPr>
      <w:r w:rsidRPr="009A1FE2">
        <w:rPr>
          <w:b/>
        </w:rPr>
        <w:t>HISTORY OF LEGISLATIVE ACTIONS</w:t>
      </w:r>
    </w:p>
    <w:p w:rsidR="009A1FE2" w:rsidRDefault="009A1FE2" w:rsidP="009A1FE2">
      <w:pPr>
        <w:widowControl w:val="0"/>
        <w:tabs>
          <w:tab w:val="center" w:pos="590"/>
          <w:tab w:val="center" w:pos="1440"/>
          <w:tab w:val="left" w:pos="1872"/>
          <w:tab w:val="left" w:pos="9187"/>
        </w:tabs>
        <w:jc w:val="left"/>
      </w:pPr>
    </w:p>
    <w:p w:rsidR="009A1FE2" w:rsidRPr="009A1FE2" w:rsidRDefault="009A1FE2" w:rsidP="009A1FE2">
      <w:pPr>
        <w:widowControl w:val="0"/>
        <w:tabs>
          <w:tab w:val="center" w:pos="590"/>
          <w:tab w:val="center" w:pos="1440"/>
          <w:tab w:val="left" w:pos="1872"/>
          <w:tab w:val="left" w:pos="9187"/>
        </w:tabs>
        <w:jc w:val="left"/>
      </w:pPr>
      <w:r w:rsidRPr="009A1FE2">
        <w:rPr>
          <w:u w:val="single"/>
        </w:rPr>
        <w:tab/>
        <w:t>Date</w:t>
      </w:r>
      <w:r w:rsidRPr="009A1FE2">
        <w:rPr>
          <w:u w:val="single"/>
        </w:rPr>
        <w:tab/>
        <w:t>Body</w:t>
      </w:r>
      <w:r w:rsidRPr="009A1FE2">
        <w:rPr>
          <w:u w:val="single"/>
        </w:rPr>
        <w:tab/>
        <w:t>Action Description with journal page number</w:t>
      </w:r>
      <w:r w:rsidRPr="009A1FE2">
        <w:rPr>
          <w:u w:val="single"/>
        </w:rPr>
        <w:tab/>
      </w:r>
    </w:p>
    <w:p w:rsidR="00957F7C" w:rsidRDefault="00957F7C" w:rsidP="00957F7C">
      <w:pPr>
        <w:widowControl w:val="0"/>
        <w:tabs>
          <w:tab w:val="right" w:pos="1008"/>
          <w:tab w:val="left" w:pos="1152"/>
          <w:tab w:val="left" w:pos="1872"/>
          <w:tab w:val="left" w:pos="9187"/>
        </w:tabs>
        <w:ind w:left="2088" w:hanging="2088"/>
      </w:pPr>
      <w:r>
        <w:tab/>
        <w:t>3/27/2019</w:t>
      </w:r>
      <w:r>
        <w:tab/>
        <w:t>House</w:t>
      </w:r>
      <w:r>
        <w:tab/>
      </w:r>
      <w:r w:rsidRPr="00681A7C">
        <w:t>Introduced and read first time (</w:t>
      </w:r>
      <w:hyperlink r:id="rId7" w:history="1">
        <w:r w:rsidRPr="00681A7C">
          <w:rPr>
            <w:rStyle w:val="Hyperlink"/>
          </w:rPr>
          <w:t>House Journal</w:t>
        </w:r>
        <w:r w:rsidRPr="00681A7C">
          <w:rPr>
            <w:rStyle w:val="Hyperlink"/>
          </w:rPr>
          <w:noBreakHyphen/>
          <w:t>page 47</w:t>
        </w:r>
      </w:hyperlink>
      <w:r w:rsidRPr="00681A7C">
        <w:t>)</w:t>
      </w:r>
    </w:p>
    <w:p w:rsidR="00957F7C" w:rsidRDefault="00957F7C" w:rsidP="00957F7C">
      <w:pPr>
        <w:widowControl w:val="0"/>
        <w:tabs>
          <w:tab w:val="right" w:pos="1008"/>
          <w:tab w:val="left" w:pos="1152"/>
          <w:tab w:val="left" w:pos="1872"/>
          <w:tab w:val="left" w:pos="9187"/>
        </w:tabs>
        <w:ind w:left="2088" w:hanging="2088"/>
      </w:pPr>
      <w:r>
        <w:tab/>
        <w:t>3/27/2019</w:t>
      </w:r>
      <w:r>
        <w:tab/>
        <w:t>House</w:t>
      </w:r>
      <w:r>
        <w:tab/>
      </w:r>
      <w:r w:rsidRPr="00681A7C">
        <w:t>Referr</w:t>
      </w:r>
      <w:r>
        <w:t xml:space="preserve">ed to Committee on </w:t>
      </w:r>
      <w:r w:rsidRPr="00681A7C">
        <w:rPr>
          <w:b/>
        </w:rPr>
        <w:t>Judiciary</w:t>
      </w:r>
      <w:r>
        <w:t xml:space="preserve"> </w:t>
      </w:r>
      <w:r w:rsidRPr="00681A7C">
        <w:t>(</w:t>
      </w:r>
      <w:hyperlink r:id="rId8" w:history="1">
        <w:r w:rsidRPr="00681A7C">
          <w:rPr>
            <w:rStyle w:val="Hyperlink"/>
          </w:rPr>
          <w:t>House Journal</w:t>
        </w:r>
        <w:r w:rsidRPr="00681A7C">
          <w:rPr>
            <w:rStyle w:val="Hyperlink"/>
          </w:rPr>
          <w:noBreakHyphen/>
          <w:t>page 47</w:t>
        </w:r>
      </w:hyperlink>
      <w:r w:rsidRPr="00681A7C">
        <w:t>)</w:t>
      </w:r>
    </w:p>
    <w:p w:rsidR="00957F7C" w:rsidRDefault="00957F7C" w:rsidP="00957F7C">
      <w:pPr>
        <w:widowControl w:val="0"/>
        <w:tabs>
          <w:tab w:val="right" w:pos="1008"/>
          <w:tab w:val="left" w:pos="1152"/>
          <w:tab w:val="left" w:pos="1872"/>
          <w:tab w:val="left" w:pos="9187"/>
        </w:tabs>
        <w:ind w:left="2088" w:hanging="2088"/>
      </w:pPr>
      <w:r>
        <w:tab/>
        <w:t>4/2/2019</w:t>
      </w:r>
      <w:r>
        <w:tab/>
        <w:t>House</w:t>
      </w:r>
      <w:r>
        <w:tab/>
      </w:r>
      <w:r w:rsidRPr="00681A7C">
        <w:t>Member(s) request name added as sponsor: Thigpen</w:t>
      </w:r>
    </w:p>
    <w:p w:rsidR="00957F7C" w:rsidRDefault="00957F7C" w:rsidP="00957F7C">
      <w:pPr>
        <w:widowControl w:val="0"/>
        <w:tabs>
          <w:tab w:val="right" w:pos="1008"/>
          <w:tab w:val="left" w:pos="1152"/>
          <w:tab w:val="left" w:pos="1872"/>
          <w:tab w:val="left" w:pos="9187"/>
        </w:tabs>
        <w:ind w:left="2088" w:hanging="2088"/>
      </w:pPr>
    </w:p>
    <w:p w:rsidR="009A1FE2" w:rsidRDefault="009A1FE2" w:rsidP="009A1FE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A1FE2">
          <w:rPr>
            <w:rStyle w:val="Hyperlink"/>
          </w:rPr>
          <w:t>legislative information</w:t>
        </w:r>
      </w:hyperlink>
      <w:r>
        <w:t xml:space="preserve"> at the website</w:t>
      </w:r>
    </w:p>
    <w:p w:rsidR="009A1FE2" w:rsidRDefault="009A1FE2" w:rsidP="009A1FE2">
      <w:pPr>
        <w:widowControl w:val="0"/>
        <w:tabs>
          <w:tab w:val="right" w:pos="1008"/>
          <w:tab w:val="left" w:pos="1152"/>
          <w:tab w:val="left" w:pos="1872"/>
          <w:tab w:val="left" w:pos="9187"/>
        </w:tabs>
        <w:ind w:left="2088" w:hanging="2088"/>
        <w:jc w:val="left"/>
      </w:pPr>
    </w:p>
    <w:p w:rsidR="009A1FE2" w:rsidRPr="009A1FE2" w:rsidRDefault="009A1FE2" w:rsidP="009A1FE2">
      <w:pPr>
        <w:widowControl w:val="0"/>
        <w:tabs>
          <w:tab w:val="right" w:pos="1008"/>
          <w:tab w:val="left" w:pos="1152"/>
          <w:tab w:val="left" w:pos="1872"/>
          <w:tab w:val="left" w:pos="9187"/>
        </w:tabs>
        <w:ind w:left="2088" w:hanging="2088"/>
        <w:jc w:val="left"/>
      </w:pPr>
    </w:p>
    <w:p w:rsidR="009A1FE2" w:rsidRDefault="009A1FE2" w:rsidP="009A1FE2">
      <w:pPr>
        <w:widowControl w:val="0"/>
        <w:jc w:val="left"/>
      </w:pPr>
      <w:r w:rsidRPr="009A1FE2">
        <w:rPr>
          <w:b/>
        </w:rPr>
        <w:t>VERSIONS OF THIS BILL</w:t>
      </w:r>
    </w:p>
    <w:p w:rsidR="009A1FE2" w:rsidRDefault="009A1FE2" w:rsidP="009A1FE2">
      <w:pPr>
        <w:widowControl w:val="0"/>
        <w:jc w:val="left"/>
      </w:pPr>
    </w:p>
    <w:p w:rsidR="009A1FE2" w:rsidRDefault="002A2B96" w:rsidP="009A1FE2">
      <w:pPr>
        <w:widowControl w:val="0"/>
        <w:jc w:val="left"/>
      </w:pPr>
      <w:hyperlink r:id="rId10" w:history="1">
        <w:r w:rsidR="009A1FE2">
          <w:rPr>
            <w:rStyle w:val="Hyperlink"/>
          </w:rPr>
          <w:t>3/27/2019</w:t>
        </w:r>
      </w:hyperlink>
    </w:p>
    <w:p w:rsidR="009A1FE2" w:rsidRDefault="009A1FE2" w:rsidP="009A1FE2"/>
    <w:p w:rsidR="009A1FE2" w:rsidRDefault="009A1FE2" w:rsidP="009A1FE2">
      <w:pPr>
        <w:sectPr w:rsidR="009A1FE2" w:rsidSect="009A1FE2">
          <w:pgSz w:w="12240" w:h="15840" w:code="1"/>
          <w:pgMar w:top="1080" w:right="1440" w:bottom="1080" w:left="1440" w:header="720" w:footer="720" w:gutter="0"/>
          <w:cols w:space="720"/>
          <w:noEndnote/>
          <w:docGrid w:linePitch="360"/>
        </w:sectPr>
      </w:pPr>
    </w:p>
    <w:p w:rsidR="00431402" w:rsidRDefault="00431402"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4A8" w:rsidRDefault="00B424A8" w:rsidP="00B4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4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2C7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02F5">
        <w:rPr>
          <w:color w:val="000000" w:themeColor="text1"/>
          <w:u w:color="000000" w:themeColor="text1"/>
        </w:rPr>
        <w:t>TO AMEND THE CODE OF LAWS OF SOUTH CAROLINA, 1976, BY ADDING SECTION 27</w:t>
      </w:r>
      <w:r w:rsidR="004376CF">
        <w:rPr>
          <w:color w:val="000000" w:themeColor="text1"/>
          <w:u w:color="000000" w:themeColor="text1"/>
        </w:rPr>
        <w:noBreakHyphen/>
      </w:r>
      <w:r w:rsidRPr="00B502F5">
        <w:rPr>
          <w:color w:val="000000" w:themeColor="text1"/>
          <w:u w:color="000000" w:themeColor="text1"/>
        </w:rPr>
        <w:t>40</w:t>
      </w:r>
      <w:r w:rsidR="004376CF">
        <w:rPr>
          <w:color w:val="000000" w:themeColor="text1"/>
          <w:u w:color="000000" w:themeColor="text1"/>
        </w:rPr>
        <w:noBreakHyphen/>
      </w:r>
      <w:r w:rsidRPr="00B502F5">
        <w:rPr>
          <w:color w:val="000000" w:themeColor="text1"/>
          <w:u w:color="000000" w:themeColor="text1"/>
        </w:rPr>
        <w:t xml:space="preserve">350 SO AS TO PROVIDE THAT A TENANT WHO IS A VICTIM OF DOMESTIC VIOLENCE, DATING VIOLENCE, SEXUAL ASSAULT, OR STALKING MAY TERMINATE THE RENTAL AGREEMENT WITHIN SIXTY DAYS OF THE DOCUMENTED INCIDENT AND IS NOT REQUIRED TO PAY PENALTIES THAT MAY OTHERWISE BE IMPOSED FOR EARLY TERMINATION, TO PROVIDE NOTICE REQUIREMENTS FOR THE TENANT, TO ESTABLISH CERTAIN REQUIREMENTS FOR THE LANDLORD, AND TO PROHIBIT RETALIATORY ACTIONS AGAINST </w:t>
      </w:r>
      <w:r w:rsidR="008A6475">
        <w:rPr>
          <w:color w:val="000000" w:themeColor="text1"/>
          <w:u w:color="000000" w:themeColor="text1"/>
        </w:rPr>
        <w:t>T</w:t>
      </w:r>
      <w:r w:rsidRPr="00B502F5">
        <w:rPr>
          <w:color w:val="000000" w:themeColor="text1"/>
          <w:u w:color="000000" w:themeColor="text1"/>
        </w:rPr>
        <w:t xml:space="preserve">HE TENANT.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2C7F" w:rsidRDefault="00A82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2C7F" w:rsidRDefault="00A82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272" w:rsidRPr="00B502F5" w:rsidRDefault="004C3ABB"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44272" w:rsidRPr="00B502F5">
        <w:rPr>
          <w:color w:val="000000" w:themeColor="text1"/>
          <w:u w:color="000000" w:themeColor="text1"/>
        </w:rPr>
        <w:t>1.</w:t>
      </w:r>
      <w:r>
        <w:rPr>
          <w:color w:val="000000" w:themeColor="text1"/>
          <w:u w:color="000000" w:themeColor="text1"/>
        </w:rPr>
        <w:tab/>
      </w:r>
      <w:r w:rsidR="00144272" w:rsidRPr="00B502F5">
        <w:rPr>
          <w:color w:val="000000" w:themeColor="text1"/>
          <w:u w:color="000000" w:themeColor="text1"/>
        </w:rPr>
        <w:t xml:space="preserve">Article 1, Chapter 40, Title 27 of the 1976 Code is amended by adding: </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t>“Section 27</w:t>
      </w:r>
      <w:r w:rsidR="004376CF">
        <w:rPr>
          <w:color w:val="000000" w:themeColor="text1"/>
          <w:u w:color="000000" w:themeColor="text1"/>
        </w:rPr>
        <w:noBreakHyphen/>
      </w:r>
      <w:r w:rsidRPr="00B502F5">
        <w:rPr>
          <w:color w:val="000000" w:themeColor="text1"/>
          <w:u w:color="000000" w:themeColor="text1"/>
        </w:rPr>
        <w:t>40</w:t>
      </w:r>
      <w:r w:rsidR="004376CF">
        <w:rPr>
          <w:color w:val="000000" w:themeColor="text1"/>
          <w:u w:color="000000" w:themeColor="text1"/>
        </w:rPr>
        <w:noBreakHyphen/>
      </w:r>
      <w:r w:rsidRPr="00B502F5">
        <w:rPr>
          <w:color w:val="000000" w:themeColor="text1"/>
          <w:u w:color="000000" w:themeColor="text1"/>
        </w:rPr>
        <w:t>350.</w:t>
      </w:r>
      <w:r w:rsidRPr="00B502F5">
        <w:rPr>
          <w:color w:val="000000" w:themeColor="text1"/>
          <w:u w:color="000000" w:themeColor="text1"/>
        </w:rPr>
        <w:tab/>
        <w:t>(A)</w:t>
      </w:r>
      <w:r w:rsidRPr="00B502F5">
        <w:rPr>
          <w:color w:val="000000" w:themeColor="text1"/>
          <w:u w:color="000000" w:themeColor="text1"/>
        </w:rPr>
        <w:tab/>
        <w:t>If a residential tenant or a member of the residential tenant</w:t>
      </w:r>
      <w:r w:rsidR="001A1779" w:rsidRPr="001A1779">
        <w:rPr>
          <w:color w:val="000000" w:themeColor="text1"/>
          <w:u w:color="000000" w:themeColor="text1"/>
        </w:rPr>
        <w:t>’</w:t>
      </w:r>
      <w:r w:rsidRPr="00B502F5">
        <w:rPr>
          <w:color w:val="000000" w:themeColor="text1"/>
          <w:u w:color="000000" w:themeColor="text1"/>
        </w:rPr>
        <w:t xml:space="preserve">s household is a victim of domestic violence, dating violence, sexual assault, or stalking, the tenant may: </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r>
      <w:r w:rsidRPr="00B502F5">
        <w:rPr>
          <w:color w:val="000000" w:themeColor="text1"/>
          <w:u w:color="000000" w:themeColor="text1"/>
        </w:rPr>
        <w:tab/>
        <w:t>(1)</w:t>
      </w:r>
      <w:r w:rsidRPr="00B502F5">
        <w:rPr>
          <w:color w:val="000000" w:themeColor="text1"/>
          <w:u w:color="000000" w:themeColor="text1"/>
        </w:rPr>
        <w:tab/>
        <w:t>terminate the rental agreement within sixty days of the date of the documented incident of domestic violence, dating violence, sexual assault, or</w:t>
      </w:r>
      <w:r w:rsidR="008A6475">
        <w:rPr>
          <w:color w:val="000000" w:themeColor="text1"/>
          <w:u w:color="000000" w:themeColor="text1"/>
        </w:rPr>
        <w:t xml:space="preserve"> stalking due to safety issues</w:t>
      </w:r>
      <w:r w:rsidR="00D93A38">
        <w:rPr>
          <w:color w:val="000000" w:themeColor="text1"/>
          <w:u w:color="000000" w:themeColor="text1"/>
        </w:rPr>
        <w:t>. Accepted documentation includes, but is not limited to, a police report, medical documentation, or a restraining order</w:t>
      </w:r>
      <w:r w:rsidR="00ED33FE">
        <w:rPr>
          <w:color w:val="000000" w:themeColor="text1"/>
          <w:u w:color="000000" w:themeColor="text1"/>
        </w:rPr>
        <w:t>.</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r>
      <w:r w:rsidRPr="00B502F5">
        <w:rPr>
          <w:color w:val="000000" w:themeColor="text1"/>
          <w:u w:color="000000" w:themeColor="text1"/>
        </w:rPr>
        <w:tab/>
        <w:t>(2)</w:t>
      </w:r>
      <w:r w:rsidRPr="00B502F5">
        <w:rPr>
          <w:color w:val="000000" w:themeColor="text1"/>
          <w:u w:color="000000" w:themeColor="text1"/>
        </w:rPr>
        <w:tab/>
        <w:t>not be held liable for penalties or fees that might otherwise be imposed for the early termi</w:t>
      </w:r>
      <w:r w:rsidR="008A6475">
        <w:rPr>
          <w:color w:val="000000" w:themeColor="text1"/>
          <w:u w:color="000000" w:themeColor="text1"/>
        </w:rPr>
        <w:t>nation of the rental agreement;</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t xml:space="preserve">(B) </w:t>
      </w:r>
      <w:r w:rsidRPr="00B502F5">
        <w:rPr>
          <w:color w:val="000000" w:themeColor="text1"/>
          <w:u w:color="000000" w:themeColor="text1"/>
        </w:rPr>
        <w:tab/>
        <w:t xml:space="preserve">A tenant must provide the landlord with written notice of the intent to terminate the rental agreement within sixty days after the documented incident and is entitled to remain at the residence for at </w:t>
      </w:r>
      <w:r w:rsidRPr="00B502F5">
        <w:rPr>
          <w:color w:val="000000" w:themeColor="text1"/>
          <w:u w:color="000000" w:themeColor="text1"/>
        </w:rPr>
        <w:lastRenderedPageBreak/>
        <w:t xml:space="preserve">least sixty days following the submission of the notice to the landlord. The tenant is still responsible for paying rent and other amounts owed, other than any fees imposed for early termination of the rental agreement, during the sixty days before the termination of the rental agreement. </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t>(C)</w:t>
      </w:r>
      <w:r w:rsidRPr="00B502F5">
        <w:rPr>
          <w:color w:val="000000" w:themeColor="text1"/>
          <w:u w:color="000000" w:themeColor="text1"/>
        </w:rPr>
        <w:tab/>
        <w:t>A landlord:</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r>
      <w:r w:rsidRPr="00B502F5">
        <w:rPr>
          <w:color w:val="000000" w:themeColor="text1"/>
          <w:u w:color="000000" w:themeColor="text1"/>
        </w:rPr>
        <w:tab/>
        <w:t>(1)</w:t>
      </w:r>
      <w:r w:rsidRPr="00B502F5">
        <w:rPr>
          <w:color w:val="000000" w:themeColor="text1"/>
          <w:u w:color="000000" w:themeColor="text1"/>
        </w:rPr>
        <w:tab/>
        <w:t>may not require or force a residential tenant to vacate the residence before the expiration of the sixty days authorized by this section</w:t>
      </w:r>
      <w:r w:rsidR="004C3ABB">
        <w:rPr>
          <w:color w:val="000000" w:themeColor="text1"/>
          <w:u w:color="000000" w:themeColor="text1"/>
        </w:rPr>
        <w:t>,</w:t>
      </w:r>
      <w:r w:rsidRPr="00B502F5">
        <w:rPr>
          <w:color w:val="000000" w:themeColor="text1"/>
          <w:u w:color="000000" w:themeColor="text1"/>
        </w:rPr>
        <w:t xml:space="preserve"> but may enter into an agreement with the tenant to terminate the rental agreement earlier than what is req</w:t>
      </w:r>
      <w:r w:rsidR="008A6475">
        <w:rPr>
          <w:color w:val="000000" w:themeColor="text1"/>
          <w:u w:color="000000" w:themeColor="text1"/>
        </w:rPr>
        <w:t>uired pursuant to this section; and</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r>
      <w:r w:rsidRPr="00B502F5">
        <w:rPr>
          <w:color w:val="000000" w:themeColor="text1"/>
          <w:u w:color="000000" w:themeColor="text1"/>
        </w:rPr>
        <w:tab/>
        <w:t>(2)</w:t>
      </w:r>
      <w:r w:rsidRPr="00B502F5">
        <w:rPr>
          <w:color w:val="000000" w:themeColor="text1"/>
          <w:u w:color="000000" w:themeColor="text1"/>
        </w:rPr>
        <w:tab/>
        <w:t>is entitled to all remedies available arising from the destruction or damage of the rental unit caused by the tenant or permitted by the tenant while on the premises with the tenant</w:t>
      </w:r>
      <w:r w:rsidR="001A1779" w:rsidRPr="001A1779">
        <w:rPr>
          <w:color w:val="000000" w:themeColor="text1"/>
          <w:u w:color="000000" w:themeColor="text1"/>
        </w:rPr>
        <w:t>’</w:t>
      </w:r>
      <w:r w:rsidRPr="00B502F5">
        <w:rPr>
          <w:color w:val="000000" w:themeColor="text1"/>
          <w:u w:color="000000" w:themeColor="text1"/>
        </w:rPr>
        <w:t xml:space="preserve">s permission. </w:t>
      </w:r>
    </w:p>
    <w:p w:rsidR="00144272" w:rsidRPr="00B502F5" w:rsidRDefault="00144272" w:rsidP="00144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02F5">
        <w:rPr>
          <w:color w:val="000000" w:themeColor="text1"/>
          <w:u w:color="000000" w:themeColor="text1"/>
        </w:rPr>
        <w:tab/>
        <w:t>(D)</w:t>
      </w:r>
      <w:r w:rsidRPr="00B502F5">
        <w:rPr>
          <w:color w:val="000000" w:themeColor="text1"/>
          <w:u w:color="000000" w:themeColor="text1"/>
        </w:rPr>
        <w:tab/>
        <w:t>A landlord may not take any retaliatory action against a tenant in response to the early termination of the rental agreement including, without limitation, refusing to return the tenant</w:t>
      </w:r>
      <w:r w:rsidR="001A1779" w:rsidRPr="001A1779">
        <w:rPr>
          <w:color w:val="000000" w:themeColor="text1"/>
          <w:u w:color="000000" w:themeColor="text1"/>
        </w:rPr>
        <w:t>’</w:t>
      </w:r>
      <w:r w:rsidRPr="00B502F5">
        <w:rPr>
          <w:color w:val="000000" w:themeColor="text1"/>
          <w:u w:color="000000" w:themeColor="text1"/>
        </w:rPr>
        <w:t>s security deposit unless the landlord is entitled to keep the deposit based on other violations of the agreement by the tenant or instituting an eviction action against the tenant.”</w:t>
      </w:r>
    </w:p>
    <w:p w:rsidR="00A82C7F" w:rsidRDefault="00A82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C7F" w:rsidRDefault="00A82C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6475">
        <w:t>2</w:t>
      </w:r>
      <w:r>
        <w:t>.</w:t>
      </w:r>
      <w:r>
        <w:tab/>
        <w:t>This act takes effect upon approval by the Governor.</w:t>
      </w:r>
    </w:p>
    <w:p w:rsidR="00E34656" w:rsidRDefault="004376C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FE2" w:rsidRDefault="009A1FE2" w:rsidP="009A1FE2">
      <w:pPr>
        <w:suppressAutoHyphens/>
      </w:pPr>
    </w:p>
    <w:sectPr w:rsidR="009A1FE2" w:rsidSect="009A1FE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C7F" w:rsidRDefault="00A82C7F" w:rsidP="009F0C77">
      <w:r>
        <w:separator/>
      </w:r>
    </w:p>
  </w:endnote>
  <w:endnote w:type="continuationSeparator" w:id="0">
    <w:p w:rsidR="00A82C7F" w:rsidRDefault="00A82C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C7913A6-84DD-4848-B288-148F3DBDADEB}"/>
    <w:embedBold r:id="rId2" w:fontKey="{5943815A-2013-4F0D-B317-3B4A3800792E}"/>
  </w:font>
  <w:font w:name="Calibri">
    <w:panose1 w:val="020F0502020204030204"/>
    <w:charset w:val="00"/>
    <w:family w:val="swiss"/>
    <w:pitch w:val="variable"/>
    <w:sig w:usb0="E00002FF" w:usb1="4000ACFF" w:usb2="00000001" w:usb3="00000000" w:csb0="0000019F" w:csb1="00000000"/>
    <w:embedRegular r:id="rId3" w:fontKey="{097A7B46-14A9-4019-A487-26D84D1DB55C}"/>
  </w:font>
  <w:font w:name="Segoe UI">
    <w:panose1 w:val="020B0502040204020203"/>
    <w:charset w:val="00"/>
    <w:family w:val="swiss"/>
    <w:pitch w:val="variable"/>
    <w:sig w:usb0="E10022FF" w:usb1="C000E47F" w:usb2="00000029" w:usb3="00000000" w:csb0="000001DF" w:csb1="00000000"/>
    <w:embedRegular r:id="rId4" w:fontKey="{647FF875-B5BD-450B-9CD8-AE716B676B02}"/>
  </w:font>
  <w:font w:name="Cambria">
    <w:panose1 w:val="02040503050406030204"/>
    <w:charset w:val="00"/>
    <w:family w:val="roman"/>
    <w:pitch w:val="variable"/>
    <w:sig w:usb0="E00002FF" w:usb1="400004FF" w:usb2="00000000" w:usb3="00000000" w:csb0="0000019F" w:csb1="00000000"/>
    <w:embedRegular r:id="rId5" w:fontKey="{522A867E-9DEF-43BB-9F00-149D16D6E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2" w:rsidRPr="00431402" w:rsidRDefault="009A1FE2" w:rsidP="00431402">
    <w:pPr>
      <w:pStyle w:val="Footer"/>
      <w:tabs>
        <w:tab w:val="clear" w:pos="4680"/>
        <w:tab w:val="clear" w:pos="9360"/>
        <w:tab w:val="center" w:pos="2995"/>
      </w:tabs>
      <w:spacing w:before="120"/>
    </w:pPr>
    <w:r>
      <w:t>[4329]</w:t>
    </w:r>
    <w:r>
      <w:tab/>
    </w:r>
    <w:r>
      <w:fldChar w:fldCharType="begin"/>
    </w:r>
    <w:r>
      <w:instrText xml:space="preserve"> PAGE  \* MERGEFORMAT </w:instrText>
    </w:r>
    <w:r>
      <w:fldChar w:fldCharType="separate"/>
    </w:r>
    <w:r w:rsidR="00957F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C7F" w:rsidRDefault="00A82C7F" w:rsidP="009F0C77">
      <w:r>
        <w:separator/>
      </w:r>
    </w:p>
  </w:footnote>
  <w:footnote w:type="continuationSeparator" w:id="0">
    <w:p w:rsidR="00A82C7F" w:rsidRDefault="00A82C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3CZ19"/>
    <w:docVar w:name="CoverBillType" w:val="b"/>
    <w:docVar w:name="DocPath" w:val="L:\Council\bills\JN\3053CZ19.DOCX"/>
    <w:docVar w:name="dvBillNumber" w:val="4329"/>
    <w:docVar w:name="dvBillNumberPrefix" w:val="H. "/>
    <w:docVar w:name="dvOriginalBody" w:val="House"/>
    <w:docVar w:name="dvSteno" w:val="JN"/>
    <w:docVar w:name="NameofBody" w:val="h"/>
    <w:docVar w:name="vGroup2" w:val="Council"/>
  </w:docVars>
  <w:rsids>
    <w:rsidRoot w:val="00A82C7F"/>
    <w:rsid w:val="00011869"/>
    <w:rsid w:val="00015CD6"/>
    <w:rsid w:val="000E0100"/>
    <w:rsid w:val="000E1785"/>
    <w:rsid w:val="000F40FA"/>
    <w:rsid w:val="001035F1"/>
    <w:rsid w:val="0010776B"/>
    <w:rsid w:val="00133E66"/>
    <w:rsid w:val="001435A3"/>
    <w:rsid w:val="00144272"/>
    <w:rsid w:val="00146ED3"/>
    <w:rsid w:val="00151044"/>
    <w:rsid w:val="001A1779"/>
    <w:rsid w:val="001D08F2"/>
    <w:rsid w:val="001D3A58"/>
    <w:rsid w:val="001D525B"/>
    <w:rsid w:val="001D7F4F"/>
    <w:rsid w:val="00205238"/>
    <w:rsid w:val="002321B6"/>
    <w:rsid w:val="00250967"/>
    <w:rsid w:val="002543C8"/>
    <w:rsid w:val="0025541D"/>
    <w:rsid w:val="0025750A"/>
    <w:rsid w:val="00284AAE"/>
    <w:rsid w:val="002E5912"/>
    <w:rsid w:val="00301B21"/>
    <w:rsid w:val="00325348"/>
    <w:rsid w:val="0032732C"/>
    <w:rsid w:val="00336AD0"/>
    <w:rsid w:val="0037079A"/>
    <w:rsid w:val="0038092F"/>
    <w:rsid w:val="003C4DAB"/>
    <w:rsid w:val="003D01E8"/>
    <w:rsid w:val="003E5288"/>
    <w:rsid w:val="003F6D79"/>
    <w:rsid w:val="0041760A"/>
    <w:rsid w:val="00417C01"/>
    <w:rsid w:val="00431402"/>
    <w:rsid w:val="004376CF"/>
    <w:rsid w:val="004403BD"/>
    <w:rsid w:val="00461441"/>
    <w:rsid w:val="004809EE"/>
    <w:rsid w:val="004C3ABB"/>
    <w:rsid w:val="004E7D54"/>
    <w:rsid w:val="005273C6"/>
    <w:rsid w:val="00530A69"/>
    <w:rsid w:val="00545593"/>
    <w:rsid w:val="00556EBF"/>
    <w:rsid w:val="00577C6C"/>
    <w:rsid w:val="005A62FE"/>
    <w:rsid w:val="005C2FE2"/>
    <w:rsid w:val="005E2BC9"/>
    <w:rsid w:val="00605102"/>
    <w:rsid w:val="006215AA"/>
    <w:rsid w:val="006913C9"/>
    <w:rsid w:val="0069470D"/>
    <w:rsid w:val="006B54A5"/>
    <w:rsid w:val="006D58AA"/>
    <w:rsid w:val="00734F00"/>
    <w:rsid w:val="007A70AE"/>
    <w:rsid w:val="008362E8"/>
    <w:rsid w:val="0085786E"/>
    <w:rsid w:val="008A1768"/>
    <w:rsid w:val="008A489F"/>
    <w:rsid w:val="008A6475"/>
    <w:rsid w:val="008F0F33"/>
    <w:rsid w:val="008F4429"/>
    <w:rsid w:val="00914A8B"/>
    <w:rsid w:val="0094021A"/>
    <w:rsid w:val="00957F7C"/>
    <w:rsid w:val="009766C9"/>
    <w:rsid w:val="009A1FE2"/>
    <w:rsid w:val="009B44AF"/>
    <w:rsid w:val="009C6A0B"/>
    <w:rsid w:val="009F0C77"/>
    <w:rsid w:val="009F4DD1"/>
    <w:rsid w:val="00A02543"/>
    <w:rsid w:val="00A41684"/>
    <w:rsid w:val="00A64E80"/>
    <w:rsid w:val="00A72BCD"/>
    <w:rsid w:val="00A741D9"/>
    <w:rsid w:val="00A82C7F"/>
    <w:rsid w:val="00A833AB"/>
    <w:rsid w:val="00A9741D"/>
    <w:rsid w:val="00AC34A2"/>
    <w:rsid w:val="00AD1C9A"/>
    <w:rsid w:val="00AD4B17"/>
    <w:rsid w:val="00B412D4"/>
    <w:rsid w:val="00B424A8"/>
    <w:rsid w:val="00BE3C22"/>
    <w:rsid w:val="00C0345E"/>
    <w:rsid w:val="00C31C95"/>
    <w:rsid w:val="00C3483A"/>
    <w:rsid w:val="00C74E9D"/>
    <w:rsid w:val="00C826DD"/>
    <w:rsid w:val="00C82FD3"/>
    <w:rsid w:val="00C92819"/>
    <w:rsid w:val="00CC6B7B"/>
    <w:rsid w:val="00CD2089"/>
    <w:rsid w:val="00D73A67"/>
    <w:rsid w:val="00D93A38"/>
    <w:rsid w:val="00D970A9"/>
    <w:rsid w:val="00DF3845"/>
    <w:rsid w:val="00E34656"/>
    <w:rsid w:val="00E41911"/>
    <w:rsid w:val="00E44B57"/>
    <w:rsid w:val="00E92EEF"/>
    <w:rsid w:val="00ED33F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EE8B3C-F1C1-4E21-BFCC-59D56AE8B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17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779"/>
    <w:rPr>
      <w:rFonts w:ascii="Segoe UI" w:eastAsia="Times New Roman" w:hAnsi="Segoe UI" w:cs="Segoe UI"/>
      <w:sz w:val="18"/>
      <w:szCs w:val="18"/>
    </w:rPr>
  </w:style>
  <w:style w:type="character" w:styleId="Hyperlink">
    <w:name w:val="Hyperlink"/>
    <w:basedOn w:val="DefaultParagraphFont"/>
    <w:uiPriority w:val="99"/>
    <w:unhideWhenUsed/>
    <w:rsid w:val="009A1F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329_201903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B89C9-0D74-43BE-8B72-7173D7BE9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4329: Rental agreement - South Carolina Legislature Online</dc:title>
  <dc:creator>Julie Newboult</dc:creator>
  <cp:lastModifiedBy>S Volk</cp:lastModifiedBy>
  <cp:revision>2</cp:revision>
  <cp:lastPrinted>2019-03-13T14:51:00Z</cp:lastPrinted>
  <dcterms:created xsi:type="dcterms:W3CDTF">2019-04-02T17:34:00Z</dcterms:created>
  <dcterms:modified xsi:type="dcterms:W3CDTF">2019-04-02T17:34:00Z</dcterms:modified>
</cp:coreProperties>
</file>