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3972">
        <w:rPr>
          <w:rFonts w:cs="Times New Roman"/>
          <w:b/>
        </w:rPr>
        <w:t>South Carolina General Assembly</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3972">
        <w:rPr>
          <w:rFonts w:cs="Times New Roman"/>
        </w:rPr>
        <w:t>123rd Session, 2019-2020</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972" w:rsidRPr="00F33972" w:rsidRDefault="00286B9A"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A50, R70, S440</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972">
        <w:rPr>
          <w:rFonts w:cs="Times New Roman"/>
          <w:b/>
        </w:rPr>
        <w:t>STATUS INFORMATION</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972">
        <w:rPr>
          <w:rFonts w:cs="Times New Roman"/>
        </w:rPr>
        <w:t>General Bill</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972">
        <w:rPr>
          <w:rFonts w:cs="Times New Roman"/>
        </w:rPr>
        <w:t>Sponsors: Senators Talley and Reese</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972">
        <w:rPr>
          <w:rFonts w:cs="Times New Roman"/>
        </w:rPr>
        <w:t>Document Path: l:\s-res\sft\015reha.sp.sft.docx</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972">
        <w:rPr>
          <w:rFonts w:cs="Times New Roman"/>
        </w:rPr>
        <w:t>Companion/Similar bill(s): 3682</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0898" w:rsidRDefault="006E0898"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29, 2019</w:t>
      </w:r>
    </w:p>
    <w:p w:rsidR="006E0898" w:rsidRDefault="006E0898"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20, 2019</w:t>
      </w:r>
    </w:p>
    <w:p w:rsidR="006E0898" w:rsidRDefault="006E0898"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8, 2019</w:t>
      </w:r>
    </w:p>
    <w:p w:rsidR="006E0898" w:rsidRDefault="006E0898"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2019</w:t>
      </w:r>
    </w:p>
    <w:p w:rsidR="006E0898" w:rsidRDefault="006E0898"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2019, Signed</w:t>
      </w:r>
    </w:p>
    <w:p w:rsidR="006E0898" w:rsidRDefault="006E0898"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972">
        <w:rPr>
          <w:rFonts w:cs="Times New Roman"/>
        </w:rPr>
        <w:t>Summary: SC Textiles Communities Revitalization Act</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972" w:rsidRPr="00F33972" w:rsidRDefault="00F33972" w:rsidP="00F33972">
      <w:pPr>
        <w:widowControl w:val="0"/>
        <w:tabs>
          <w:tab w:val="center" w:pos="590"/>
          <w:tab w:val="center" w:pos="1440"/>
          <w:tab w:val="left" w:pos="1872"/>
          <w:tab w:val="left" w:pos="9187"/>
        </w:tabs>
        <w:rPr>
          <w:rFonts w:cs="Times New Roman"/>
        </w:rPr>
      </w:pPr>
      <w:r w:rsidRPr="00F33972">
        <w:rPr>
          <w:rFonts w:cs="Times New Roman"/>
          <w:b/>
        </w:rPr>
        <w:t>HISTORY OF LEGISLATIVE ACTIONS</w:t>
      </w:r>
    </w:p>
    <w:p w:rsidR="00F33972" w:rsidRPr="00F33972" w:rsidRDefault="00F33972" w:rsidP="00F33972">
      <w:pPr>
        <w:widowControl w:val="0"/>
        <w:tabs>
          <w:tab w:val="center" w:pos="590"/>
          <w:tab w:val="center" w:pos="1440"/>
          <w:tab w:val="left" w:pos="1872"/>
          <w:tab w:val="left" w:pos="9187"/>
        </w:tabs>
        <w:rPr>
          <w:rFonts w:cs="Times New Roman"/>
        </w:rPr>
      </w:pPr>
    </w:p>
    <w:p w:rsidR="00F33972" w:rsidRPr="00F33972" w:rsidRDefault="00F33972" w:rsidP="00F33972">
      <w:pPr>
        <w:widowControl w:val="0"/>
        <w:tabs>
          <w:tab w:val="center" w:pos="590"/>
          <w:tab w:val="center" w:pos="1440"/>
          <w:tab w:val="left" w:pos="1872"/>
          <w:tab w:val="left" w:pos="9187"/>
        </w:tabs>
        <w:rPr>
          <w:rFonts w:cs="Times New Roman"/>
        </w:rPr>
      </w:pPr>
      <w:r w:rsidRPr="00F33972">
        <w:rPr>
          <w:rFonts w:cs="Times New Roman"/>
          <w:u w:val="single"/>
        </w:rPr>
        <w:tab/>
        <w:t>Date</w:t>
      </w:r>
      <w:r w:rsidRPr="00F33972">
        <w:rPr>
          <w:rFonts w:cs="Times New Roman"/>
          <w:u w:val="single"/>
        </w:rPr>
        <w:tab/>
        <w:t>Body</w:t>
      </w:r>
      <w:r w:rsidRPr="00F33972">
        <w:rPr>
          <w:rFonts w:cs="Times New Roman"/>
          <w:u w:val="single"/>
        </w:rPr>
        <w:tab/>
        <w:t>Action Description with journal page number</w:t>
      </w:r>
      <w:r w:rsidRPr="00F33972">
        <w:rPr>
          <w:rFonts w:cs="Times New Roman"/>
          <w:u w:val="single"/>
        </w:rPr>
        <w:tab/>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644651">
        <w:rPr>
          <w:rFonts w:cs="Times New Roman"/>
        </w:rPr>
        <w:t>Introduced and read first time (</w:t>
      </w:r>
      <w:hyperlink r:id="rId6" w:history="1">
        <w:r w:rsidRPr="00644651">
          <w:rPr>
            <w:rStyle w:val="Hyperlink"/>
            <w:rFonts w:cs="Times New Roman"/>
          </w:rPr>
          <w:t>Senate Journal</w:t>
        </w:r>
        <w:r w:rsidRPr="00644651">
          <w:rPr>
            <w:rStyle w:val="Hyperlink"/>
            <w:rFonts w:cs="Times New Roman"/>
          </w:rPr>
          <w:noBreakHyphen/>
          <w:t>page 5</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644651">
        <w:rPr>
          <w:rFonts w:cs="Times New Roman"/>
        </w:rPr>
        <w:t>R</w:t>
      </w:r>
      <w:r>
        <w:rPr>
          <w:rFonts w:cs="Times New Roman"/>
        </w:rPr>
        <w:t xml:space="preserve">eferred to Committee on </w:t>
      </w:r>
      <w:r w:rsidRPr="00644651">
        <w:rPr>
          <w:rFonts w:cs="Times New Roman"/>
          <w:b/>
        </w:rPr>
        <w:t>Finance</w:t>
      </w:r>
      <w:r>
        <w:rPr>
          <w:rFonts w:cs="Times New Roman"/>
        </w:rPr>
        <w:t xml:space="preserve"> </w:t>
      </w:r>
      <w:r w:rsidRPr="00644651">
        <w:rPr>
          <w:rFonts w:cs="Times New Roman"/>
        </w:rPr>
        <w:t>(</w:t>
      </w:r>
      <w:hyperlink r:id="rId7" w:history="1">
        <w:r w:rsidRPr="00644651">
          <w:rPr>
            <w:rStyle w:val="Hyperlink"/>
            <w:rFonts w:cs="Times New Roman"/>
          </w:rPr>
          <w:t>Senate Journal</w:t>
        </w:r>
        <w:r w:rsidRPr="00644651">
          <w:rPr>
            <w:rStyle w:val="Hyperlink"/>
            <w:rFonts w:cs="Times New Roman"/>
          </w:rPr>
          <w:noBreakHyphen/>
          <w:t>page 5</w:t>
        </w:r>
      </w:hyperlink>
      <w:bookmarkStart w:id="0" w:name="_GoBack"/>
      <w:bookmarkEnd w:id="0"/>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3/12/2019</w:t>
      </w:r>
      <w:r>
        <w:rPr>
          <w:rFonts w:cs="Times New Roman"/>
        </w:rPr>
        <w:tab/>
        <w:t>Senate</w:t>
      </w:r>
      <w:r>
        <w:rPr>
          <w:rFonts w:cs="Times New Roman"/>
        </w:rPr>
        <w:tab/>
      </w:r>
      <w:r w:rsidRPr="00644651">
        <w:rPr>
          <w:rFonts w:cs="Times New Roman"/>
        </w:rPr>
        <w:t>Committee r</w:t>
      </w:r>
      <w:r>
        <w:rPr>
          <w:rFonts w:cs="Times New Roman"/>
        </w:rPr>
        <w:t xml:space="preserve">eport: Favorable with amendment </w:t>
      </w:r>
      <w:r w:rsidRPr="00644651">
        <w:rPr>
          <w:rFonts w:cs="Times New Roman"/>
          <w:b/>
        </w:rPr>
        <w:t>Finance</w:t>
      </w:r>
      <w:r w:rsidRPr="00644651">
        <w:rPr>
          <w:rFonts w:cs="Times New Roman"/>
        </w:rPr>
        <w:t xml:space="preserve"> (</w:t>
      </w:r>
      <w:hyperlink r:id="rId8" w:history="1">
        <w:r w:rsidRPr="00644651">
          <w:rPr>
            <w:rStyle w:val="Hyperlink"/>
            <w:rFonts w:cs="Times New Roman"/>
          </w:rPr>
          <w:t>Senate Journal</w:t>
        </w:r>
        <w:r w:rsidRPr="00644651">
          <w:rPr>
            <w:rStyle w:val="Hyperlink"/>
            <w:rFonts w:cs="Times New Roman"/>
          </w:rPr>
          <w:noBreakHyphen/>
          <w:t>page 47</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r>
      <w:r>
        <w:rPr>
          <w:rFonts w:cs="Times New Roman"/>
        </w:rPr>
        <w:tab/>
      </w:r>
      <w:r w:rsidRPr="00644651">
        <w:rPr>
          <w:rFonts w:cs="Times New Roman"/>
        </w:rPr>
        <w:t>Scrivener's error corrected</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644651">
        <w:rPr>
          <w:rFonts w:cs="Times New Roman"/>
        </w:rPr>
        <w:t>Committee Amendment Adopted (</w:t>
      </w:r>
      <w:hyperlink r:id="rId9" w:history="1">
        <w:r w:rsidRPr="00644651">
          <w:rPr>
            <w:rStyle w:val="Hyperlink"/>
            <w:rFonts w:cs="Times New Roman"/>
          </w:rPr>
          <w:t>Senate Journal</w:t>
        </w:r>
        <w:r w:rsidRPr="00644651">
          <w:rPr>
            <w:rStyle w:val="Hyperlink"/>
            <w:rFonts w:cs="Times New Roman"/>
          </w:rPr>
          <w:noBreakHyphen/>
          <w:t>page 27</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644651">
        <w:rPr>
          <w:rFonts w:cs="Times New Roman"/>
        </w:rPr>
        <w:t>Read second time (</w:t>
      </w:r>
      <w:hyperlink r:id="rId10" w:history="1">
        <w:r w:rsidRPr="00644651">
          <w:rPr>
            <w:rStyle w:val="Hyperlink"/>
            <w:rFonts w:cs="Times New Roman"/>
          </w:rPr>
          <w:t>Senate Journal</w:t>
        </w:r>
        <w:r w:rsidRPr="00644651">
          <w:rPr>
            <w:rStyle w:val="Hyperlink"/>
            <w:rFonts w:cs="Times New Roman"/>
          </w:rPr>
          <w:noBreakHyphen/>
          <w:t>page 27</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644651">
        <w:rPr>
          <w:rFonts w:cs="Times New Roman"/>
        </w:rPr>
        <w:t>Roll call Ayes</w:t>
      </w:r>
      <w:r>
        <w:rPr>
          <w:rFonts w:cs="Times New Roman"/>
        </w:rPr>
        <w:noBreakHyphen/>
      </w:r>
      <w:r w:rsidRPr="00644651">
        <w:rPr>
          <w:rFonts w:cs="Times New Roman"/>
        </w:rPr>
        <w:t>38  Nays</w:t>
      </w:r>
      <w:r>
        <w:rPr>
          <w:rFonts w:cs="Times New Roman"/>
        </w:rPr>
        <w:noBreakHyphen/>
      </w:r>
      <w:r w:rsidRPr="00644651">
        <w:rPr>
          <w:rFonts w:cs="Times New Roman"/>
        </w:rPr>
        <w:t>0 (</w:t>
      </w:r>
      <w:hyperlink r:id="rId11" w:history="1">
        <w:r w:rsidRPr="00644651">
          <w:rPr>
            <w:rStyle w:val="Hyperlink"/>
            <w:rFonts w:cs="Times New Roman"/>
          </w:rPr>
          <w:t>Senate Journal</w:t>
        </w:r>
        <w:r w:rsidRPr="00644651">
          <w:rPr>
            <w:rStyle w:val="Hyperlink"/>
            <w:rFonts w:cs="Times New Roman"/>
          </w:rPr>
          <w:noBreakHyphen/>
          <w:t>page 27</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r>
      <w:r w:rsidRPr="00644651">
        <w:rPr>
          <w:rFonts w:cs="Times New Roman"/>
        </w:rPr>
        <w:t>Re</w:t>
      </w:r>
      <w:r>
        <w:rPr>
          <w:rFonts w:cs="Times New Roman"/>
        </w:rPr>
        <w:t xml:space="preserve">ad third time and sent to House </w:t>
      </w:r>
      <w:r w:rsidRPr="00644651">
        <w:rPr>
          <w:rFonts w:cs="Times New Roman"/>
        </w:rPr>
        <w:t>(</w:t>
      </w:r>
      <w:hyperlink r:id="rId12" w:history="1">
        <w:r w:rsidRPr="00644651">
          <w:rPr>
            <w:rStyle w:val="Hyperlink"/>
            <w:rFonts w:cs="Times New Roman"/>
          </w:rPr>
          <w:t>Senate Journal</w:t>
        </w:r>
        <w:r w:rsidRPr="00644651">
          <w:rPr>
            <w:rStyle w:val="Hyperlink"/>
            <w:rFonts w:cs="Times New Roman"/>
          </w:rPr>
          <w:noBreakHyphen/>
          <w:t>page 12</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644651">
        <w:rPr>
          <w:rFonts w:cs="Times New Roman"/>
        </w:rPr>
        <w:t>Introduced and read first time (</w:t>
      </w:r>
      <w:hyperlink r:id="rId13" w:history="1">
        <w:r w:rsidRPr="00644651">
          <w:rPr>
            <w:rStyle w:val="Hyperlink"/>
            <w:rFonts w:cs="Times New Roman"/>
          </w:rPr>
          <w:t>House Journal</w:t>
        </w:r>
        <w:r w:rsidRPr="00644651">
          <w:rPr>
            <w:rStyle w:val="Hyperlink"/>
            <w:rFonts w:cs="Times New Roman"/>
          </w:rPr>
          <w:noBreakHyphen/>
          <w:t>page 10</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644651">
        <w:rPr>
          <w:rFonts w:cs="Times New Roman"/>
        </w:rPr>
        <w:t>Referred</w:t>
      </w:r>
      <w:r>
        <w:rPr>
          <w:rFonts w:cs="Times New Roman"/>
        </w:rPr>
        <w:t xml:space="preserve"> to Committee on </w:t>
      </w:r>
      <w:r w:rsidRPr="00644651">
        <w:rPr>
          <w:rFonts w:cs="Times New Roman"/>
          <w:b/>
        </w:rPr>
        <w:t>Ways and Means</w:t>
      </w:r>
      <w:r>
        <w:rPr>
          <w:rFonts w:cs="Times New Roman"/>
        </w:rPr>
        <w:t xml:space="preserve"> </w:t>
      </w:r>
      <w:r w:rsidRPr="00644651">
        <w:rPr>
          <w:rFonts w:cs="Times New Roman"/>
        </w:rPr>
        <w:t>(</w:t>
      </w:r>
      <w:hyperlink r:id="rId14" w:history="1">
        <w:r w:rsidRPr="00644651">
          <w:rPr>
            <w:rStyle w:val="Hyperlink"/>
            <w:rFonts w:cs="Times New Roman"/>
          </w:rPr>
          <w:t>House Journal</w:t>
        </w:r>
        <w:r w:rsidRPr="00644651">
          <w:rPr>
            <w:rStyle w:val="Hyperlink"/>
            <w:rFonts w:cs="Times New Roman"/>
          </w:rPr>
          <w:noBreakHyphen/>
          <w:t>page 10</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644651">
        <w:rPr>
          <w:rFonts w:cs="Times New Roman"/>
        </w:rPr>
        <w:t>Committee r</w:t>
      </w:r>
      <w:r>
        <w:rPr>
          <w:rFonts w:cs="Times New Roman"/>
        </w:rPr>
        <w:t xml:space="preserve">eport: Favorable </w:t>
      </w:r>
      <w:r w:rsidRPr="00644651">
        <w:rPr>
          <w:rFonts w:cs="Times New Roman"/>
          <w:b/>
        </w:rPr>
        <w:t>Ways and Means</w:t>
      </w:r>
      <w:r>
        <w:rPr>
          <w:rFonts w:cs="Times New Roman"/>
        </w:rPr>
        <w:t xml:space="preserve"> </w:t>
      </w:r>
      <w:r w:rsidRPr="00644651">
        <w:rPr>
          <w:rFonts w:cs="Times New Roman"/>
        </w:rPr>
        <w:t>(</w:t>
      </w:r>
      <w:hyperlink r:id="rId15" w:history="1">
        <w:r w:rsidRPr="00644651">
          <w:rPr>
            <w:rStyle w:val="Hyperlink"/>
            <w:rFonts w:cs="Times New Roman"/>
          </w:rPr>
          <w:t>House Journal</w:t>
        </w:r>
        <w:r w:rsidRPr="00644651">
          <w:rPr>
            <w:rStyle w:val="Hyperlink"/>
            <w:rFonts w:cs="Times New Roman"/>
          </w:rPr>
          <w:noBreakHyphen/>
          <w:t>page 12</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644651">
        <w:rPr>
          <w:rFonts w:cs="Times New Roman"/>
        </w:rPr>
        <w:t>Amended (</w:t>
      </w:r>
      <w:hyperlink r:id="rId16" w:history="1">
        <w:r w:rsidRPr="00644651">
          <w:rPr>
            <w:rStyle w:val="Hyperlink"/>
            <w:rFonts w:cs="Times New Roman"/>
          </w:rPr>
          <w:t>House Journal</w:t>
        </w:r>
        <w:r w:rsidRPr="00644651">
          <w:rPr>
            <w:rStyle w:val="Hyperlink"/>
            <w:rFonts w:cs="Times New Roman"/>
          </w:rPr>
          <w:noBreakHyphen/>
          <w:t>page 120</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644651">
        <w:rPr>
          <w:rFonts w:cs="Times New Roman"/>
        </w:rPr>
        <w:t>Read second time (</w:t>
      </w:r>
      <w:hyperlink r:id="rId17" w:history="1">
        <w:r w:rsidRPr="00644651">
          <w:rPr>
            <w:rStyle w:val="Hyperlink"/>
            <w:rFonts w:cs="Times New Roman"/>
          </w:rPr>
          <w:t>House Journal</w:t>
        </w:r>
        <w:r w:rsidRPr="00644651">
          <w:rPr>
            <w:rStyle w:val="Hyperlink"/>
            <w:rFonts w:cs="Times New Roman"/>
          </w:rPr>
          <w:noBreakHyphen/>
          <w:t>page 120</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644651">
        <w:rPr>
          <w:rFonts w:cs="Times New Roman"/>
        </w:rPr>
        <w:t>Roll call Yeas</w:t>
      </w:r>
      <w:r>
        <w:rPr>
          <w:rFonts w:cs="Times New Roman"/>
        </w:rPr>
        <w:noBreakHyphen/>
      </w:r>
      <w:r w:rsidRPr="00644651">
        <w:rPr>
          <w:rFonts w:cs="Times New Roman"/>
        </w:rPr>
        <w:t>103  Nays</w:t>
      </w:r>
      <w:r>
        <w:rPr>
          <w:rFonts w:cs="Times New Roman"/>
        </w:rPr>
        <w:noBreakHyphen/>
      </w:r>
      <w:r w:rsidRPr="00644651">
        <w:rPr>
          <w:rFonts w:cs="Times New Roman"/>
        </w:rPr>
        <w:t>0 (</w:t>
      </w:r>
      <w:hyperlink r:id="rId18" w:history="1">
        <w:r w:rsidRPr="00644651">
          <w:rPr>
            <w:rStyle w:val="Hyperlink"/>
            <w:rFonts w:cs="Times New Roman"/>
          </w:rPr>
          <w:t>House Journal</w:t>
        </w:r>
        <w:r w:rsidRPr="00644651">
          <w:rPr>
            <w:rStyle w:val="Hyperlink"/>
            <w:rFonts w:cs="Times New Roman"/>
          </w:rPr>
          <w:noBreakHyphen/>
          <w:t>page 121</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644651">
        <w:rPr>
          <w:rFonts w:cs="Times New Roman"/>
        </w:rPr>
        <w:t>Scrivener's error corrected</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644651">
        <w:rPr>
          <w:rFonts w:cs="Times New Roman"/>
        </w:rPr>
        <w:t>Read third time and returned to Sena</w:t>
      </w:r>
      <w:r>
        <w:rPr>
          <w:rFonts w:cs="Times New Roman"/>
        </w:rPr>
        <w:t xml:space="preserve">te with </w:t>
      </w:r>
      <w:r w:rsidRPr="00644651">
        <w:rPr>
          <w:rFonts w:cs="Times New Roman"/>
        </w:rPr>
        <w:t>amendments (</w:t>
      </w:r>
      <w:hyperlink r:id="rId19" w:history="1">
        <w:r w:rsidRPr="00644651">
          <w:rPr>
            <w:rStyle w:val="Hyperlink"/>
            <w:rFonts w:cs="Times New Roman"/>
          </w:rPr>
          <w:t>House Journal</w:t>
        </w:r>
        <w:r w:rsidRPr="00644651">
          <w:rPr>
            <w:rStyle w:val="Hyperlink"/>
            <w:rFonts w:cs="Times New Roman"/>
          </w:rPr>
          <w:noBreakHyphen/>
          <w:t>page 130</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644651">
        <w:rPr>
          <w:rFonts w:cs="Times New Roman"/>
        </w:rPr>
        <w:t xml:space="preserve">Concurred </w:t>
      </w:r>
      <w:r>
        <w:rPr>
          <w:rFonts w:cs="Times New Roman"/>
        </w:rPr>
        <w:t xml:space="preserve">in House amendment and enrolled </w:t>
      </w:r>
      <w:r w:rsidRPr="00644651">
        <w:rPr>
          <w:rFonts w:cs="Times New Roman"/>
        </w:rPr>
        <w:t>(</w:t>
      </w:r>
      <w:hyperlink r:id="rId20" w:history="1">
        <w:r w:rsidRPr="00644651">
          <w:rPr>
            <w:rStyle w:val="Hyperlink"/>
            <w:rFonts w:cs="Times New Roman"/>
          </w:rPr>
          <w:t>Senate Journal</w:t>
        </w:r>
        <w:r w:rsidRPr="00644651">
          <w:rPr>
            <w:rStyle w:val="Hyperlink"/>
            <w:rFonts w:cs="Times New Roman"/>
          </w:rPr>
          <w:noBreakHyphen/>
          <w:t>page 106</w:t>
        </w:r>
      </w:hyperlink>
      <w:r w:rsidRPr="00644651">
        <w:rPr>
          <w:rFonts w:cs="Times New Roman"/>
        </w:rPr>
        <w:t>)</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644651">
        <w:rPr>
          <w:rFonts w:cs="Times New Roman"/>
        </w:rPr>
        <w:t>Ratified R  70</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644651">
        <w:rPr>
          <w:rFonts w:cs="Times New Roman"/>
        </w:rPr>
        <w:t>Signed By Governor</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644651">
        <w:rPr>
          <w:rFonts w:cs="Times New Roman"/>
        </w:rPr>
        <w:t>Effective date  See Act for Effective Date</w:t>
      </w:r>
    </w:p>
    <w:p w:rsidR="00286B9A" w:rsidRDefault="00286B9A" w:rsidP="00286B9A">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644651">
        <w:rPr>
          <w:rFonts w:cs="Times New Roman"/>
        </w:rPr>
        <w:t>Act No</w:t>
      </w:r>
      <w:r>
        <w:rPr>
          <w:rFonts w:cs="Times New Roman"/>
        </w:rPr>
        <w:t>. </w:t>
      </w:r>
      <w:r w:rsidRPr="00644651">
        <w:rPr>
          <w:rFonts w:cs="Times New Roman"/>
        </w:rPr>
        <w:t xml:space="preserve"> 50</w:t>
      </w:r>
    </w:p>
    <w:p w:rsidR="00286B9A" w:rsidRDefault="00286B9A" w:rsidP="00286B9A">
      <w:pPr>
        <w:widowControl w:val="0"/>
        <w:tabs>
          <w:tab w:val="right" w:pos="1008"/>
          <w:tab w:val="left" w:pos="1152"/>
          <w:tab w:val="left" w:pos="1872"/>
          <w:tab w:val="left" w:pos="9187"/>
        </w:tabs>
        <w:ind w:left="2088" w:hanging="2088"/>
        <w:rPr>
          <w:rFonts w:cs="Times New Roman"/>
        </w:rPr>
      </w:pPr>
    </w:p>
    <w:p w:rsidR="00F33972" w:rsidRPr="00F33972" w:rsidRDefault="00F33972" w:rsidP="00F33972">
      <w:pPr>
        <w:widowControl w:val="0"/>
        <w:tabs>
          <w:tab w:val="right" w:pos="1008"/>
          <w:tab w:val="left" w:pos="1152"/>
          <w:tab w:val="left" w:pos="1872"/>
          <w:tab w:val="left" w:pos="9187"/>
        </w:tabs>
        <w:ind w:left="2088" w:hanging="2088"/>
        <w:rPr>
          <w:rFonts w:cs="Times New Roman"/>
        </w:rPr>
      </w:pPr>
      <w:r w:rsidRPr="00F33972">
        <w:rPr>
          <w:rFonts w:cs="Times New Roman"/>
        </w:rPr>
        <w:t xml:space="preserve">View the latest </w:t>
      </w:r>
      <w:hyperlink r:id="rId21" w:history="1">
        <w:r w:rsidRPr="00F33972">
          <w:rPr>
            <w:rFonts w:cs="Times New Roman"/>
            <w:color w:val="0000FF" w:themeColor="hyperlink"/>
            <w:u w:val="single"/>
          </w:rPr>
          <w:t>legislative information</w:t>
        </w:r>
      </w:hyperlink>
      <w:r w:rsidRPr="00F33972">
        <w:rPr>
          <w:rFonts w:cs="Times New Roman"/>
        </w:rPr>
        <w:t xml:space="preserve"> at the website</w:t>
      </w:r>
    </w:p>
    <w:p w:rsidR="00F33972" w:rsidRPr="00F33972" w:rsidRDefault="00F33972" w:rsidP="00F33972">
      <w:pPr>
        <w:widowControl w:val="0"/>
        <w:tabs>
          <w:tab w:val="right" w:pos="1008"/>
          <w:tab w:val="left" w:pos="1152"/>
          <w:tab w:val="left" w:pos="1872"/>
          <w:tab w:val="left" w:pos="9187"/>
        </w:tabs>
        <w:ind w:left="2088" w:hanging="2088"/>
        <w:rPr>
          <w:rFonts w:cs="Times New Roman"/>
        </w:rPr>
      </w:pPr>
    </w:p>
    <w:p w:rsidR="00F33972" w:rsidRPr="00F33972" w:rsidRDefault="00F33972" w:rsidP="00F33972">
      <w:pPr>
        <w:widowControl w:val="0"/>
        <w:tabs>
          <w:tab w:val="right" w:pos="1008"/>
          <w:tab w:val="left" w:pos="1152"/>
          <w:tab w:val="left" w:pos="1872"/>
          <w:tab w:val="left" w:pos="9187"/>
        </w:tabs>
        <w:ind w:left="2088" w:hanging="2088"/>
        <w:rPr>
          <w:rFonts w:cs="Times New Roman"/>
        </w:rPr>
      </w:pP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972">
        <w:rPr>
          <w:rFonts w:cs="Times New Roman"/>
          <w:b/>
        </w:rPr>
        <w:t>VERSIONS OF THIS BILL</w:t>
      </w:r>
    </w:p>
    <w:p w:rsidR="00F33972" w:rsidRPr="00F33972" w:rsidRDefault="00F33972"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972" w:rsidRPr="00F33972" w:rsidRDefault="00123F46" w:rsidP="00F339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F33972" w:rsidRPr="00F33972">
          <w:rPr>
            <w:rFonts w:cs="Times New Roman"/>
            <w:color w:val="0000FF" w:themeColor="hyperlink"/>
            <w:u w:val="single"/>
          </w:rPr>
          <w:t>1/29/2019</w:t>
        </w:r>
      </w:hyperlink>
    </w:p>
    <w:p w:rsidR="00F33972" w:rsidRPr="00F33972" w:rsidRDefault="00123F46" w:rsidP="00F3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F33972" w:rsidRPr="00F33972">
          <w:rPr>
            <w:rFonts w:cs="Times New Roman"/>
            <w:color w:val="0000FF" w:themeColor="hyperlink"/>
            <w:u w:val="single"/>
          </w:rPr>
          <w:t>3/12/2019</w:t>
        </w:r>
      </w:hyperlink>
    </w:p>
    <w:p w:rsidR="00F33972" w:rsidRPr="00F33972" w:rsidRDefault="00123F46" w:rsidP="00F3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33972" w:rsidRPr="00F33972">
          <w:rPr>
            <w:rFonts w:cs="Times New Roman"/>
            <w:color w:val="0000FF" w:themeColor="hyperlink"/>
            <w:u w:val="single"/>
          </w:rPr>
          <w:t>3/13/2019</w:t>
        </w:r>
      </w:hyperlink>
    </w:p>
    <w:p w:rsidR="00F33972" w:rsidRPr="00F33972" w:rsidRDefault="00123F46" w:rsidP="00F3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F33972" w:rsidRPr="00F33972">
          <w:rPr>
            <w:rFonts w:cs="Times New Roman"/>
            <w:color w:val="0000FF" w:themeColor="hyperlink"/>
            <w:u w:val="single"/>
          </w:rPr>
          <w:t>3/14/2019</w:t>
        </w:r>
      </w:hyperlink>
    </w:p>
    <w:p w:rsidR="00F33972" w:rsidRPr="00F33972" w:rsidRDefault="00123F46" w:rsidP="00F3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33972" w:rsidRPr="00F33972">
          <w:rPr>
            <w:rFonts w:cs="Times New Roman"/>
            <w:color w:val="0000FF" w:themeColor="hyperlink"/>
            <w:u w:val="single"/>
          </w:rPr>
          <w:t>5/2/2019</w:t>
        </w:r>
      </w:hyperlink>
    </w:p>
    <w:p w:rsidR="00F33972" w:rsidRPr="00F33972" w:rsidRDefault="00123F46" w:rsidP="00F3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33972" w:rsidRPr="00F33972">
          <w:rPr>
            <w:rFonts w:cs="Times New Roman"/>
            <w:color w:val="0000FF" w:themeColor="hyperlink"/>
            <w:u w:val="single"/>
          </w:rPr>
          <w:t>5/8/2019</w:t>
        </w:r>
      </w:hyperlink>
    </w:p>
    <w:p w:rsidR="00F33972" w:rsidRPr="00F33972" w:rsidRDefault="00123F46" w:rsidP="00F3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33972" w:rsidRPr="00F33972">
          <w:rPr>
            <w:rFonts w:cs="Times New Roman"/>
            <w:color w:val="0000FF" w:themeColor="hyperlink"/>
            <w:u w:val="single"/>
          </w:rPr>
          <w:t>5/9/2019</w:t>
        </w:r>
      </w:hyperlink>
    </w:p>
    <w:p w:rsidR="00F33972" w:rsidRPr="00F33972" w:rsidRDefault="00F33972" w:rsidP="00F3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972" w:rsidRDefault="00F33972" w:rsidP="00F3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3972" w:rsidSect="00F33972">
          <w:pgSz w:w="12240" w:h="15840" w:code="1"/>
          <w:pgMar w:top="1080" w:right="1440" w:bottom="1080" w:left="1440" w:header="720" w:footer="720" w:gutter="0"/>
          <w:pgNumType w:start="1"/>
          <w:cols w:space="720"/>
          <w:noEndnote/>
          <w:docGrid w:linePitch="360"/>
        </w:sectPr>
      </w:pPr>
    </w:p>
    <w:p w:rsidR="00681043"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(A50, R70, S440)</w:t>
      </w:r>
    </w:p>
    <w:p w:rsidR="00681043" w:rsidRPr="008836A5"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81043" w:rsidRPr="00F33972"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3972">
        <w:rPr>
          <w:rFonts w:cs="Times New Roman"/>
          <w:b/>
          <w:color w:val="000000" w:themeColor="text1"/>
          <w:szCs w:val="36"/>
        </w:rPr>
        <w:t xml:space="preserve">AN ACT </w:t>
      </w:r>
      <w:r w:rsidRPr="00F33972">
        <w:rPr>
          <w:rFonts w:cs="Times New Roman"/>
          <w:b/>
          <w:color w:val="000000" w:themeColor="text1"/>
          <w:u w:color="000000" w:themeColor="text1"/>
        </w:rPr>
        <w:t>TO AMEND SECTION 12</w:t>
      </w:r>
      <w:r w:rsidRPr="00F33972">
        <w:rPr>
          <w:rFonts w:cs="Times New Roman"/>
          <w:b/>
          <w:color w:val="000000" w:themeColor="text1"/>
          <w:u w:color="000000" w:themeColor="text1"/>
        </w:rPr>
        <w:noBreakHyphen/>
        <w:t>65</w:t>
      </w:r>
      <w:r w:rsidRPr="00F33972">
        <w:rPr>
          <w:rFonts w:cs="Times New Roman"/>
          <w:b/>
          <w:color w:val="000000" w:themeColor="text1"/>
          <w:u w:color="000000" w:themeColor="text1"/>
        </w:rPr>
        <w:noBreakHyphen/>
        <w:t>20, AS AMENDED, CODE OF LAWS OF SOUTH CAROLINA, 1976, RELATING TO DEFINITIONS FOR THE SOUTH CAROLINA TEXTILES COMMUNITIES REVITALIZATION ACT, SO AS TO PROVIDE THAT A CERTAIN CAP ON REHABILITATION EXPENSES ONLY APPLIES TO CERTAIN REHABILITATED BUILDINGS ON CONTIGUOUS PARCELS; AND BY ADDING SECTION 12</w:t>
      </w:r>
      <w:r w:rsidRPr="00F33972">
        <w:rPr>
          <w:rFonts w:cs="Times New Roman"/>
          <w:b/>
          <w:color w:val="000000" w:themeColor="text1"/>
          <w:u w:color="000000" w:themeColor="text1"/>
        </w:rPr>
        <w:noBreakHyphen/>
        <w:t>67</w:t>
      </w:r>
      <w:r w:rsidRPr="00F33972">
        <w:rPr>
          <w:rFonts w:cs="Times New Roman"/>
          <w:b/>
          <w:color w:val="000000" w:themeColor="text1"/>
          <w:u w:color="000000" w:themeColor="text1"/>
        </w:rPr>
        <w:noBreakHyphen/>
        <w:t>170 SO AS TO PROVIDE FOR AN EXTENSION OF THE PLACED IN SERVICE DATE FOR A REHABILITATED ABANDONED BUILDING UNDER CERTAIN CIRCUMSTANCES.</w:t>
      </w: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DD2D6F">
        <w:rPr>
          <w:rFonts w:eastAsia="Times New Roman" w:cs="Times New Roman"/>
        </w:rPr>
        <w:tab/>
      </w: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D2D6F">
        <w:rPr>
          <w:rFonts w:eastAsia="Times New Roman" w:cs="Times New Roman"/>
        </w:rPr>
        <w:t>Be it enacted by the General Assembly of the State of South Carolina:</w:t>
      </w:r>
    </w:p>
    <w:p w:rsidR="00681043"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81043" w:rsidRPr="00DC54C8"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South Carolina Textiles Communities Revitalization Act definitions</w:t>
      </w: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DD2D6F">
        <w:rPr>
          <w:rFonts w:eastAsia="Times New Roman" w:cs="Times New Roman"/>
        </w:rPr>
        <w:t>SECTION</w:t>
      </w:r>
      <w:r w:rsidRPr="00DD2D6F">
        <w:rPr>
          <w:rFonts w:eastAsia="Times New Roman" w:cs="Times New Roman"/>
        </w:rPr>
        <w:tab/>
        <w:t>1.</w:t>
      </w:r>
      <w:r w:rsidRPr="00DD2D6F">
        <w:rPr>
          <w:rFonts w:eastAsia="Times New Roman" w:cs="Times New Roman"/>
        </w:rPr>
        <w:tab/>
      </w:r>
      <w:r w:rsidRPr="00DD2D6F">
        <w:rPr>
          <w:rFonts w:eastAsia="Times New Roman" w:cs="Times New Roman"/>
          <w:color w:val="000000" w:themeColor="text1"/>
          <w:szCs w:val="20"/>
          <w:u w:color="000000" w:themeColor="text1"/>
        </w:rPr>
        <w:t>Section 12</w:t>
      </w:r>
      <w:r>
        <w:rPr>
          <w:rFonts w:eastAsia="Times New Roman" w:cs="Times New Roman"/>
          <w:color w:val="000000" w:themeColor="text1"/>
          <w:szCs w:val="20"/>
          <w:u w:color="000000" w:themeColor="text1"/>
        </w:rPr>
        <w:noBreakHyphen/>
      </w:r>
      <w:r w:rsidRPr="00DD2D6F">
        <w:rPr>
          <w:rFonts w:eastAsia="Times New Roman" w:cs="Times New Roman"/>
          <w:color w:val="000000" w:themeColor="text1"/>
          <w:szCs w:val="20"/>
          <w:u w:color="000000" w:themeColor="text1"/>
        </w:rPr>
        <w:t>65</w:t>
      </w:r>
      <w:r>
        <w:rPr>
          <w:rFonts w:eastAsia="Times New Roman" w:cs="Times New Roman"/>
          <w:color w:val="000000" w:themeColor="text1"/>
          <w:szCs w:val="20"/>
          <w:u w:color="000000" w:themeColor="text1"/>
        </w:rPr>
        <w:noBreakHyphen/>
      </w:r>
      <w:r w:rsidRPr="00DD2D6F">
        <w:rPr>
          <w:rFonts w:eastAsia="Times New Roman" w:cs="Times New Roman"/>
          <w:color w:val="000000" w:themeColor="text1"/>
          <w:szCs w:val="20"/>
          <w:u w:color="000000" w:themeColor="text1"/>
        </w:rPr>
        <w:t>20(4) and (8) of the 1976 Code</w:t>
      </w:r>
      <w:r>
        <w:rPr>
          <w:rFonts w:eastAsia="Times New Roman" w:cs="Times New Roman"/>
          <w:color w:val="000000" w:themeColor="text1"/>
          <w:szCs w:val="20"/>
          <w:u w:color="000000" w:themeColor="text1"/>
        </w:rPr>
        <w:t xml:space="preserve">, as last amended by Act 265 of 2018, </w:t>
      </w:r>
      <w:r w:rsidRPr="00DD2D6F">
        <w:rPr>
          <w:rFonts w:eastAsia="Times New Roman" w:cs="Times New Roman"/>
          <w:color w:val="000000" w:themeColor="text1"/>
          <w:szCs w:val="20"/>
          <w:u w:color="000000" w:themeColor="text1"/>
        </w:rPr>
        <w:t>is</w:t>
      </w:r>
      <w:r>
        <w:rPr>
          <w:rFonts w:eastAsia="Times New Roman" w:cs="Times New Roman"/>
          <w:color w:val="000000" w:themeColor="text1"/>
          <w:szCs w:val="20"/>
          <w:u w:color="000000" w:themeColor="text1"/>
        </w:rPr>
        <w:t xml:space="preserve"> further</w:t>
      </w:r>
      <w:r w:rsidRPr="00DD2D6F">
        <w:rPr>
          <w:rFonts w:eastAsia="Times New Roman" w:cs="Times New Roman"/>
          <w:color w:val="000000" w:themeColor="text1"/>
          <w:szCs w:val="20"/>
          <w:u w:color="000000" w:themeColor="text1"/>
        </w:rPr>
        <w:t xml:space="preserve"> amended to read:</w:t>
      </w: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DD2D6F">
        <w:rPr>
          <w:rFonts w:eastAsia="Times New Roman" w:cs="Times New Roman"/>
          <w:color w:val="000000" w:themeColor="text1"/>
          <w:szCs w:val="20"/>
          <w:u w:color="000000" w:themeColor="text1"/>
        </w:rPr>
        <w:tab/>
      </w:r>
      <w:r w:rsidRPr="00DD2D6F">
        <w:rPr>
          <w:rFonts w:eastAsia="Times New Roman" w:cs="Times New Roman"/>
          <w:szCs w:val="20"/>
          <w:u w:color="000000" w:themeColor="text1"/>
        </w:rPr>
        <w:t>“(4)(a)</w:t>
      </w:r>
      <w:r w:rsidRPr="00DD2D6F">
        <w:rPr>
          <w:rFonts w:eastAsia="Times New Roman" w:cs="Times New Roman"/>
          <w:szCs w:val="20"/>
          <w:u w:color="000000" w:themeColor="text1"/>
        </w:rPr>
        <w:tab/>
      </w:r>
      <w:r w:rsidRPr="00DC54C8">
        <w:rPr>
          <w:rFonts w:eastAsia="Times New Roman" w:cs="Times New Roman"/>
          <w:szCs w:val="20"/>
          <w:u w:color="000000" w:themeColor="text1"/>
        </w:rPr>
        <w:t>‘</w:t>
      </w:r>
      <w:r w:rsidRPr="00DD2D6F">
        <w:rPr>
          <w:rFonts w:eastAsia="Times New Roman" w:cs="Times New Roman"/>
          <w:szCs w:val="20"/>
          <w:u w:color="000000" w:themeColor="text1"/>
        </w:rPr>
        <w:t>Textile mill site</w:t>
      </w:r>
      <w:r w:rsidRPr="00DC54C8">
        <w:rPr>
          <w:rFonts w:eastAsia="Times New Roman" w:cs="Times New Roman"/>
          <w:szCs w:val="20"/>
          <w:u w:color="000000" w:themeColor="text1"/>
        </w:rPr>
        <w:t>’</w:t>
      </w:r>
      <w:r w:rsidRPr="00DD2D6F">
        <w:rPr>
          <w:rFonts w:eastAsia="Times New Roman" w:cs="Times New Roman"/>
          <w:szCs w:val="20"/>
          <w:u w:color="000000" w:themeColor="text1"/>
        </w:rPr>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w:t>
      </w: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DD2D6F">
        <w:rPr>
          <w:rFonts w:eastAsia="Times New Roman" w:cs="Times New Roman"/>
          <w:color w:val="000000" w:themeColor="text1"/>
          <w:szCs w:val="20"/>
          <w:u w:color="000000" w:themeColor="text1"/>
        </w:rPr>
        <w:tab/>
      </w:r>
      <w:r w:rsidRPr="00DD2D6F">
        <w:rPr>
          <w:rFonts w:eastAsia="Times New Roman" w:cs="Times New Roman"/>
          <w:color w:val="000000" w:themeColor="text1"/>
          <w:szCs w:val="20"/>
          <w:u w:color="000000" w:themeColor="text1"/>
        </w:rPr>
        <w:tab/>
        <w:t>(b)</w:t>
      </w:r>
      <w:r w:rsidRPr="00DD2D6F">
        <w:rPr>
          <w:rFonts w:eastAsia="Times New Roman" w:cs="Times New Roman"/>
          <w:color w:val="000000" w:themeColor="text1"/>
          <w:szCs w:val="20"/>
          <w:u w:color="000000" w:themeColor="text1"/>
        </w:rPr>
        <w:tab/>
        <w:t xml:space="preserve">Notwithstanding the provisions of item (4)(a), with respect to (i) any site acquired by a taxpayer before January 1, 2008, (ii) a site located on the Catawba River near Interstate 77, or (iii) a site which, on the date the notice of intent to rehabilitate is filed, is located in a distressed area of a county in this State, as designated by the applicable council of government, </w:t>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textile mill site</w:t>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 xml:space="preserve"> means the textile mill structure, together with all land and improvements which were used directly for textile manufacturing operations or ancillary uses, or were located on the same parcel or a contiguous parcel within one thousand feet of any textile mill structure or ancillary uses. For purposes of this subitem, </w:t>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contiguous parcel</w:t>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 xml:space="preserve"> means any separate tax parcel sharing a common boundary with an adjacent parcel or separated only by a private or public road.</w:t>
      </w: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DD2D6F">
        <w:rPr>
          <w:rFonts w:eastAsia="Times New Roman" w:cs="Times New Roman"/>
          <w:color w:val="000000" w:themeColor="text1"/>
          <w:szCs w:val="20"/>
          <w:u w:color="000000" w:themeColor="text1"/>
        </w:rPr>
        <w:tab/>
        <w:t>(8)(a)</w:t>
      </w:r>
      <w:r w:rsidRPr="00DD2D6F">
        <w:rPr>
          <w:rFonts w:eastAsia="Times New Roman" w:cs="Times New Roman"/>
          <w:color w:val="000000" w:themeColor="text1"/>
          <w:szCs w:val="20"/>
          <w:u w:color="000000" w:themeColor="text1"/>
        </w:rPr>
        <w:tab/>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Rehabilitation expenses</w:t>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 xml:space="preserve"> means the expenses or capital expenditures incurred in the rehabilitation, renovation, or redevelopment </w:t>
      </w:r>
      <w:r w:rsidRPr="00DD2D6F">
        <w:rPr>
          <w:rFonts w:eastAsia="Times New Roman" w:cs="Times New Roman"/>
          <w:color w:val="000000" w:themeColor="text1"/>
          <w:szCs w:val="20"/>
          <w:u w:color="000000" w:themeColor="text1"/>
        </w:rPr>
        <w:lastRenderedPageBreak/>
        <w:t xml:space="preserve">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DD2D6F">
        <w:rPr>
          <w:rFonts w:eastAsia="Times New Roman" w:cs="Times New Roman"/>
          <w:color w:val="000000" w:themeColor="text1"/>
          <w:szCs w:val="20"/>
          <w:u w:color="000000" w:themeColor="text1"/>
        </w:rPr>
        <w:tab/>
      </w:r>
      <w:r w:rsidRPr="00DD2D6F">
        <w:rPr>
          <w:rFonts w:eastAsia="Times New Roman" w:cs="Times New Roman"/>
          <w:color w:val="000000" w:themeColor="text1"/>
          <w:szCs w:val="20"/>
          <w:u w:color="000000" w:themeColor="text1"/>
        </w:rPr>
        <w:tab/>
        <w:t>(b)</w:t>
      </w:r>
      <w:r w:rsidRPr="00DD2D6F">
        <w:rPr>
          <w:rFonts w:eastAsia="Times New Roman" w:cs="Times New Roman"/>
          <w:color w:val="000000" w:themeColor="text1"/>
          <w:szCs w:val="20"/>
          <w:u w:color="000000" w:themeColor="text1"/>
        </w:rPr>
        <w:tab/>
        <w:t xml:space="preserve">Notwithstanding subitem (a), for the purpose of calculating the credit with regard to new or rehabilitated buildings on </w:t>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contiguous parcels</w:t>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 xml:space="preserve"> pursuant to item (4)(b), </w:t>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rehabilitation expenses</w:t>
      </w:r>
      <w:r w:rsidRPr="00DC54C8">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 xml:space="preserve"> do not include expenses that increase the amount of square footage of the buildings that existed on that contiguous parcel immediately preceding the time at which the textile mill became abandoned by more than two hundred percent.”</w:t>
      </w:r>
    </w:p>
    <w:p w:rsidR="00681043"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681043" w:rsidRPr="00DC54C8"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0"/>
          <w:u w:color="000000" w:themeColor="text1"/>
        </w:rPr>
      </w:pPr>
      <w:r>
        <w:rPr>
          <w:rFonts w:eastAsia="Times New Roman" w:cs="Times New Roman"/>
          <w:b/>
          <w:color w:val="000000" w:themeColor="text1"/>
          <w:szCs w:val="20"/>
          <w:u w:color="000000" w:themeColor="text1"/>
        </w:rPr>
        <w:t>Placed in service date extension for rehabilitated abandoned buildings</w:t>
      </w: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DD2D6F">
        <w:rPr>
          <w:rFonts w:eastAsia="Times New Roman" w:cs="Times New Roman"/>
          <w:color w:val="000000" w:themeColor="text1"/>
          <w:szCs w:val="20"/>
          <w:u w:color="000000" w:themeColor="text1"/>
        </w:rPr>
        <w:t>SECTION</w:t>
      </w:r>
      <w:r w:rsidRPr="00DD2D6F">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2</w:t>
      </w:r>
      <w:r w:rsidRPr="00DD2D6F">
        <w:rPr>
          <w:rFonts w:eastAsia="Times New Roman" w:cs="Times New Roman"/>
          <w:color w:val="000000" w:themeColor="text1"/>
          <w:szCs w:val="20"/>
          <w:u w:color="000000" w:themeColor="text1"/>
        </w:rPr>
        <w:t>.</w:t>
      </w:r>
      <w:r w:rsidRPr="00DD2D6F">
        <w:rPr>
          <w:rFonts w:eastAsia="Times New Roman" w:cs="Times New Roman"/>
          <w:color w:val="000000" w:themeColor="text1"/>
          <w:szCs w:val="20"/>
          <w:u w:color="000000" w:themeColor="text1"/>
        </w:rPr>
        <w:tab/>
        <w:t>A.</w:t>
      </w:r>
      <w:r>
        <w:rPr>
          <w:rFonts w:eastAsia="Times New Roman" w:cs="Times New Roman"/>
          <w:color w:val="000000" w:themeColor="text1"/>
          <w:szCs w:val="20"/>
          <w:u w:color="000000" w:themeColor="text1"/>
        </w:rPr>
        <w:tab/>
      </w:r>
      <w:r w:rsidRPr="00DD2D6F">
        <w:rPr>
          <w:rFonts w:eastAsia="Times New Roman" w:cs="Times New Roman"/>
          <w:color w:val="000000" w:themeColor="text1"/>
          <w:szCs w:val="20"/>
          <w:u w:color="000000" w:themeColor="text1"/>
        </w:rPr>
        <w:tab/>
        <w:t>Notwithstanding Section 1 of Act 265 of 2018, and Section 1.B. of Act 57 of 2013, upon the repeal of Chapter 67, Title 12 of the 1976 Code, any carryforward credits shall continue to be allowed until the five or eight year time period in Section 12</w:t>
      </w:r>
      <w:r>
        <w:rPr>
          <w:rFonts w:eastAsia="Times New Roman" w:cs="Times New Roman"/>
          <w:color w:val="000000" w:themeColor="text1"/>
          <w:szCs w:val="20"/>
          <w:u w:color="000000" w:themeColor="text1"/>
        </w:rPr>
        <w:noBreakHyphen/>
      </w:r>
      <w:r w:rsidRPr="00DD2D6F">
        <w:rPr>
          <w:rFonts w:eastAsia="Times New Roman" w:cs="Times New Roman"/>
          <w:color w:val="000000" w:themeColor="text1"/>
          <w:szCs w:val="20"/>
          <w:u w:color="000000" w:themeColor="text1"/>
        </w:rPr>
        <w:t>67</w:t>
      </w:r>
      <w:r>
        <w:rPr>
          <w:rFonts w:eastAsia="Times New Roman" w:cs="Times New Roman"/>
          <w:color w:val="000000" w:themeColor="text1"/>
          <w:szCs w:val="20"/>
          <w:u w:color="000000" w:themeColor="text1"/>
        </w:rPr>
        <w:noBreakHyphen/>
      </w:r>
      <w:r w:rsidRPr="00DD2D6F">
        <w:rPr>
          <w:rFonts w:eastAsia="Times New Roman" w:cs="Times New Roman"/>
          <w:color w:val="000000" w:themeColor="text1"/>
          <w:szCs w:val="20"/>
          <w:u w:color="000000" w:themeColor="text1"/>
        </w:rPr>
        <w:t>140 is completed.</w:t>
      </w:r>
    </w:p>
    <w:p w:rsidR="00681043"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DD2D6F">
        <w:rPr>
          <w:rFonts w:eastAsia="Times New Roman" w:cs="Times New Roman"/>
          <w:color w:val="000000" w:themeColor="text1"/>
          <w:szCs w:val="20"/>
          <w:u w:color="000000" w:themeColor="text1"/>
        </w:rPr>
        <w:t>B.</w:t>
      </w:r>
      <w:r w:rsidRPr="00DD2D6F">
        <w:rPr>
          <w:rFonts w:eastAsia="Times New Roman" w:cs="Times New Roman"/>
          <w:color w:val="000000" w:themeColor="text1"/>
          <w:szCs w:val="20"/>
          <w:u w:color="000000" w:themeColor="text1"/>
        </w:rPr>
        <w:tab/>
        <w:t>Chapter 67, Title 12 of the 1976 Code is amended by adding:</w:t>
      </w:r>
    </w:p>
    <w:p w:rsidR="00681043"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DD2D6F">
        <w:rPr>
          <w:rFonts w:eastAsia="Times New Roman" w:cs="Times New Roman"/>
          <w:color w:val="000000" w:themeColor="text1"/>
          <w:szCs w:val="20"/>
          <w:u w:color="000000" w:themeColor="text1"/>
        </w:rPr>
        <w:tab/>
        <w:t>“Section 12</w:t>
      </w:r>
      <w:r>
        <w:rPr>
          <w:rFonts w:eastAsia="Times New Roman" w:cs="Times New Roman"/>
          <w:color w:val="000000" w:themeColor="text1"/>
          <w:szCs w:val="20"/>
          <w:u w:color="000000" w:themeColor="text1"/>
        </w:rPr>
        <w:noBreakHyphen/>
      </w:r>
      <w:r w:rsidRPr="00DD2D6F">
        <w:rPr>
          <w:rFonts w:eastAsia="Times New Roman" w:cs="Times New Roman"/>
          <w:color w:val="000000" w:themeColor="text1"/>
          <w:szCs w:val="20"/>
          <w:u w:color="000000" w:themeColor="text1"/>
        </w:rPr>
        <w:t>67</w:t>
      </w:r>
      <w:r>
        <w:rPr>
          <w:rFonts w:eastAsia="Times New Roman" w:cs="Times New Roman"/>
          <w:color w:val="000000" w:themeColor="text1"/>
          <w:szCs w:val="20"/>
          <w:u w:color="000000" w:themeColor="text1"/>
        </w:rPr>
        <w:noBreakHyphen/>
      </w:r>
      <w:r w:rsidRPr="00DD2D6F">
        <w:rPr>
          <w:rFonts w:eastAsia="Times New Roman" w:cs="Times New Roman"/>
          <w:color w:val="000000" w:themeColor="text1"/>
          <w:szCs w:val="20"/>
          <w:u w:color="000000" w:themeColor="text1"/>
        </w:rPr>
        <w:t>170.</w:t>
      </w:r>
      <w:r w:rsidRPr="00DD2D6F">
        <w:rPr>
          <w:rFonts w:eastAsia="Times New Roman" w:cs="Times New Roman"/>
          <w:color w:val="000000" w:themeColor="text1"/>
          <w:szCs w:val="20"/>
          <w:u w:color="000000" w:themeColor="text1"/>
        </w:rPr>
        <w:tab/>
        <w:t>Notwithstanding any other provision of this chapter, if a taxpayer files a notice of intent to rehabilitate and has 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 chapter before the applicable phase or portion of the building site is placed in service.”</w:t>
      </w:r>
    </w:p>
    <w:p w:rsidR="00681043"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681043" w:rsidRPr="00DC54C8"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0"/>
          <w:u w:color="000000" w:themeColor="text1"/>
        </w:rPr>
      </w:pPr>
      <w:r>
        <w:rPr>
          <w:rFonts w:eastAsia="Times New Roman" w:cs="Times New Roman"/>
          <w:b/>
          <w:color w:val="000000" w:themeColor="text1"/>
          <w:szCs w:val="20"/>
          <w:u w:color="000000" w:themeColor="text1"/>
        </w:rPr>
        <w:t>Time effective</w:t>
      </w: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681043" w:rsidRPr="00DD2D6F"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D2D6F">
        <w:rPr>
          <w:rFonts w:eastAsia="Times New Roman" w:cs="Times New Roman"/>
          <w:color w:val="000000" w:themeColor="text1"/>
          <w:szCs w:val="20"/>
          <w:u w:color="000000" w:themeColor="text1"/>
        </w:rPr>
        <w:t>SECTION</w:t>
      </w:r>
      <w:r w:rsidRPr="00DD2D6F">
        <w:rPr>
          <w:rFonts w:eastAsia="Times New Roman" w:cs="Times New Roman"/>
          <w:color w:val="000000" w:themeColor="text1"/>
          <w:szCs w:val="20"/>
          <w:u w:color="000000" w:themeColor="text1"/>
        </w:rPr>
        <w:tab/>
        <w:t>3.</w:t>
      </w:r>
      <w:r w:rsidRPr="00DD2D6F">
        <w:rPr>
          <w:rFonts w:eastAsia="Times New Roman" w:cs="Times New Roman"/>
          <w:color w:val="000000" w:themeColor="text1"/>
          <w:szCs w:val="20"/>
          <w:u w:color="000000" w:themeColor="text1"/>
        </w:rPr>
        <w:tab/>
        <w:t>This act takes effect upon approval by the Governor and first applies to tax years beginning after 2017.</w:t>
      </w:r>
    </w:p>
    <w:p w:rsidR="00681043" w:rsidRDefault="00681043"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81043" w:rsidRDefault="00681043" w:rsidP="0068104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13</w:t>
      </w:r>
      <w:r>
        <w:rPr>
          <w:color w:val="000000" w:themeColor="text1"/>
          <w:vertAlign w:val="superscript"/>
        </w:rPr>
        <w:t>th</w:t>
      </w:r>
      <w:r>
        <w:rPr>
          <w:color w:val="000000" w:themeColor="text1"/>
        </w:rPr>
        <w:t xml:space="preserve"> day of May, 2019.</w:t>
      </w:r>
    </w:p>
    <w:p w:rsidR="00681043" w:rsidRDefault="00681043" w:rsidP="00681043">
      <w:pPr>
        <w:keepNext/>
        <w:jc w:val="both"/>
        <w:rPr>
          <w:color w:val="000000" w:themeColor="text1"/>
        </w:rPr>
      </w:pPr>
    </w:p>
    <w:p w:rsidR="00681043" w:rsidRDefault="00681043" w:rsidP="00681043">
      <w:pPr>
        <w:jc w:val="both"/>
        <w:rPr>
          <w:color w:val="000000" w:themeColor="text1"/>
        </w:rPr>
      </w:pPr>
      <w:r>
        <w:rPr>
          <w:color w:val="000000" w:themeColor="text1"/>
        </w:rPr>
        <w:t>Approved the 16</w:t>
      </w:r>
      <w:r w:rsidRPr="00E316F3">
        <w:rPr>
          <w:color w:val="000000" w:themeColor="text1"/>
          <w:vertAlign w:val="superscript"/>
        </w:rPr>
        <w:t>th</w:t>
      </w:r>
      <w:r>
        <w:rPr>
          <w:color w:val="000000" w:themeColor="text1"/>
        </w:rPr>
        <w:t xml:space="preserve"> day of May, 2019. </w:t>
      </w:r>
    </w:p>
    <w:p w:rsidR="00681043" w:rsidRDefault="00681043" w:rsidP="00681043">
      <w:pPr>
        <w:jc w:val="center"/>
        <w:rPr>
          <w:color w:val="000000" w:themeColor="text1"/>
        </w:rPr>
      </w:pPr>
    </w:p>
    <w:p w:rsidR="00681043" w:rsidRDefault="00681043" w:rsidP="00681043">
      <w:pPr>
        <w:jc w:val="center"/>
        <w:rPr>
          <w:color w:val="000000" w:themeColor="text1"/>
        </w:rPr>
      </w:pPr>
      <w:r>
        <w:rPr>
          <w:color w:val="000000" w:themeColor="text1"/>
        </w:rPr>
        <w:t>__________</w:t>
      </w:r>
    </w:p>
    <w:p w:rsidR="00F33972" w:rsidRPr="001F6841" w:rsidRDefault="00F33972" w:rsidP="0068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33972" w:rsidRPr="001F6841" w:rsidSect="00F33972">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238" w:rsidRDefault="00783238" w:rsidP="007D5FAC">
      <w:r>
        <w:separator/>
      </w:r>
    </w:p>
  </w:endnote>
  <w:endnote w:type="continuationSeparator" w:id="0">
    <w:p w:rsidR="00783238" w:rsidRDefault="0078323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72" w:rsidRPr="00F33972" w:rsidRDefault="00F33972" w:rsidP="00F3397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F6AF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72" w:rsidRDefault="00F33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238" w:rsidRDefault="00783238" w:rsidP="007D5FAC">
      <w:r>
        <w:separator/>
      </w:r>
    </w:p>
  </w:footnote>
  <w:footnote w:type="continuationSeparator" w:id="0">
    <w:p w:rsidR="00783238" w:rsidRDefault="0078323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40"/>
    <w:docVar w:name="ActSecretary" w:val="Downey"/>
    <w:docVar w:name="ActSIdno" w:val="(87)  440DG19"/>
    <w:docVar w:name="clipname" w:val="440DG19"/>
    <w:docVar w:name="dvBillNumber" w:val="440"/>
    <w:docVar w:name="dvBillNumberPrefix" w:val="S"/>
    <w:docVar w:name="dvOriginalBody" w:val="Senate"/>
    <w:docVar w:name="OrigSENATEBillNo" w:val="440"/>
    <w:docVar w:name="SENATEACTFULLPATH" w:val="L:\COUNCIL\ACTS\440DG19.DOCX"/>
    <w:docVar w:name="WhatActtype" w:val="AN ACT"/>
  </w:docVars>
  <w:rsids>
    <w:rsidRoot w:val="00783238"/>
    <w:rsid w:val="00000C39"/>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841"/>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1EF1"/>
    <w:rsid w:val="00254411"/>
    <w:rsid w:val="00257ACD"/>
    <w:rsid w:val="002710C8"/>
    <w:rsid w:val="00273EA7"/>
    <w:rsid w:val="00274843"/>
    <w:rsid w:val="00275CBF"/>
    <w:rsid w:val="00276491"/>
    <w:rsid w:val="00276CCF"/>
    <w:rsid w:val="00277C27"/>
    <w:rsid w:val="00280582"/>
    <w:rsid w:val="00280946"/>
    <w:rsid w:val="0028169E"/>
    <w:rsid w:val="002851AC"/>
    <w:rsid w:val="00286B9A"/>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1F3D"/>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5FCC"/>
    <w:rsid w:val="00657AB1"/>
    <w:rsid w:val="00663AC3"/>
    <w:rsid w:val="00672966"/>
    <w:rsid w:val="006750A0"/>
    <w:rsid w:val="00681043"/>
    <w:rsid w:val="00690F2C"/>
    <w:rsid w:val="00690F99"/>
    <w:rsid w:val="00691B24"/>
    <w:rsid w:val="00696C4D"/>
    <w:rsid w:val="00696F5B"/>
    <w:rsid w:val="00697525"/>
    <w:rsid w:val="006A4214"/>
    <w:rsid w:val="006A5B40"/>
    <w:rsid w:val="006A65C8"/>
    <w:rsid w:val="006A6F1D"/>
    <w:rsid w:val="006A7D8A"/>
    <w:rsid w:val="006B263A"/>
    <w:rsid w:val="006B4FA6"/>
    <w:rsid w:val="006C7535"/>
    <w:rsid w:val="006C7D00"/>
    <w:rsid w:val="006C7DDE"/>
    <w:rsid w:val="006E0898"/>
    <w:rsid w:val="006F22C0"/>
    <w:rsid w:val="006F290C"/>
    <w:rsid w:val="007009F2"/>
    <w:rsid w:val="0070193C"/>
    <w:rsid w:val="00704FF9"/>
    <w:rsid w:val="007052EC"/>
    <w:rsid w:val="00707063"/>
    <w:rsid w:val="007127A6"/>
    <w:rsid w:val="00717E60"/>
    <w:rsid w:val="007212EF"/>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3238"/>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E67D7"/>
    <w:rsid w:val="008F4CA1"/>
    <w:rsid w:val="008F510F"/>
    <w:rsid w:val="008F5F0A"/>
    <w:rsid w:val="008F7D5B"/>
    <w:rsid w:val="00900319"/>
    <w:rsid w:val="0090133D"/>
    <w:rsid w:val="009057E7"/>
    <w:rsid w:val="009076FA"/>
    <w:rsid w:val="009112BB"/>
    <w:rsid w:val="00916EE8"/>
    <w:rsid w:val="0092121C"/>
    <w:rsid w:val="009218CD"/>
    <w:rsid w:val="009375C3"/>
    <w:rsid w:val="00937AF4"/>
    <w:rsid w:val="00940A90"/>
    <w:rsid w:val="009410C0"/>
    <w:rsid w:val="00947070"/>
    <w:rsid w:val="00953BF7"/>
    <w:rsid w:val="009560AB"/>
    <w:rsid w:val="009631DC"/>
    <w:rsid w:val="009664EE"/>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9F6AF6"/>
    <w:rsid w:val="009F7687"/>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166A"/>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F22"/>
    <w:rsid w:val="00B010E0"/>
    <w:rsid w:val="00B11270"/>
    <w:rsid w:val="00B12572"/>
    <w:rsid w:val="00B303AC"/>
    <w:rsid w:val="00B306BC"/>
    <w:rsid w:val="00B328E6"/>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5FBB"/>
    <w:rsid w:val="00DA1730"/>
    <w:rsid w:val="00DA77C1"/>
    <w:rsid w:val="00DB01BE"/>
    <w:rsid w:val="00DB1297"/>
    <w:rsid w:val="00DC093F"/>
    <w:rsid w:val="00DC54C8"/>
    <w:rsid w:val="00DC6CFE"/>
    <w:rsid w:val="00DD198F"/>
    <w:rsid w:val="00DD2595"/>
    <w:rsid w:val="00DD314B"/>
    <w:rsid w:val="00DD3B8D"/>
    <w:rsid w:val="00DD5167"/>
    <w:rsid w:val="00DD557D"/>
    <w:rsid w:val="00DE2D21"/>
    <w:rsid w:val="00DF0E69"/>
    <w:rsid w:val="00E00FC9"/>
    <w:rsid w:val="00E02CA8"/>
    <w:rsid w:val="00E076BB"/>
    <w:rsid w:val="00E14905"/>
    <w:rsid w:val="00E15F56"/>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3972"/>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4B7B"/>
    <w:rsid w:val="00F86999"/>
    <w:rsid w:val="00FA1013"/>
    <w:rsid w:val="00FA7E14"/>
    <w:rsid w:val="00FB1A6A"/>
    <w:rsid w:val="00FB471B"/>
    <w:rsid w:val="00FC380D"/>
    <w:rsid w:val="00FD603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48E0B71-17E1-4CBC-94E7-A928BA9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3397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84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B7B"/>
    <w:rPr>
      <w:rFonts w:ascii="Segoe UI" w:hAnsi="Segoe UI" w:cs="Segoe UI"/>
      <w:sz w:val="18"/>
      <w:szCs w:val="18"/>
    </w:rPr>
  </w:style>
  <w:style w:type="table" w:styleId="TableGrid">
    <w:name w:val="Table Grid"/>
    <w:basedOn w:val="TableNormal"/>
    <w:uiPriority w:val="59"/>
    <w:rsid w:val="009664E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3397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E6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12.docx" TargetMode="External"/><Relationship Id="rId13" Type="http://schemas.openxmlformats.org/officeDocument/2006/relationships/hyperlink" Target="file:///h:\hj\20190320.docx" TargetMode="External"/><Relationship Id="rId18" Type="http://schemas.openxmlformats.org/officeDocument/2006/relationships/hyperlink" Target="file:///h:\hj\20190508.docx" TargetMode="External"/><Relationship Id="rId26" Type="http://schemas.openxmlformats.org/officeDocument/2006/relationships/hyperlink" Target="file:///p:\pprever\2019-20\440_20190502.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440&amp;session=123&amp;summary=B" TargetMode="External"/><Relationship Id="rId7" Type="http://schemas.openxmlformats.org/officeDocument/2006/relationships/hyperlink" Target="file:///h:\sj\20190129.docx" TargetMode="External"/><Relationship Id="rId12" Type="http://schemas.openxmlformats.org/officeDocument/2006/relationships/hyperlink" Target="file:///h:\sj\20190319.docx" TargetMode="External"/><Relationship Id="rId17" Type="http://schemas.openxmlformats.org/officeDocument/2006/relationships/hyperlink" Target="file:///h:\hj\20190508.docx" TargetMode="External"/><Relationship Id="rId25" Type="http://schemas.openxmlformats.org/officeDocument/2006/relationships/hyperlink" Target="file:///p:\pprever\2019-20\440_20190314.docx" TargetMode="Externa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file:///h:\sj\20190509.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90129.docx" TargetMode="External"/><Relationship Id="rId11" Type="http://schemas.openxmlformats.org/officeDocument/2006/relationships/hyperlink" Target="file:///h:\sj\20190314.docx" TargetMode="External"/><Relationship Id="rId24" Type="http://schemas.openxmlformats.org/officeDocument/2006/relationships/hyperlink" Target="file:///p:\pprever\2019-20\440_20190313.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90502.docx" TargetMode="External"/><Relationship Id="rId23" Type="http://schemas.openxmlformats.org/officeDocument/2006/relationships/hyperlink" Target="file:///p:\pprever\2019-20\440_20190312.docx" TargetMode="External"/><Relationship Id="rId28" Type="http://schemas.openxmlformats.org/officeDocument/2006/relationships/hyperlink" Target="file:///p:\pprever\2019-20\440_20190509.docx" TargetMode="External"/><Relationship Id="rId10" Type="http://schemas.openxmlformats.org/officeDocument/2006/relationships/hyperlink" Target="file:///h:\sj\20190314.docx" TargetMode="External"/><Relationship Id="rId19" Type="http://schemas.openxmlformats.org/officeDocument/2006/relationships/hyperlink" Target="file:///h:\hj\20190509.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190314.docx" TargetMode="External"/><Relationship Id="rId14" Type="http://schemas.openxmlformats.org/officeDocument/2006/relationships/hyperlink" Target="file:///h:\hj\20190320.docx" TargetMode="External"/><Relationship Id="rId22" Type="http://schemas.openxmlformats.org/officeDocument/2006/relationships/hyperlink" Target="file:///p:\pprever\2019-20\440_20190129.docx" TargetMode="External"/><Relationship Id="rId27" Type="http://schemas.openxmlformats.org/officeDocument/2006/relationships/hyperlink" Target="file:///p:\pprever\2019-20\440_2019050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5</Pages>
  <Words>1209</Words>
  <Characters>6509</Characters>
  <Application>Microsoft Office Word</Application>
  <DocSecurity>0</DocSecurity>
  <Lines>191</Lines>
  <Paragraphs>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440: SC Textiles Communities Revitalization Act - South Carolina Legislature Online</dc:title>
  <dc:subject/>
  <dc:creator>Niki Downey</dc:creator>
  <cp:keywords/>
  <dc:description/>
  <cp:lastModifiedBy>Lavarres Lynch</cp:lastModifiedBy>
  <cp:revision>2</cp:revision>
  <cp:lastPrinted>2019-05-10T16:53:00Z</cp:lastPrinted>
  <dcterms:created xsi:type="dcterms:W3CDTF">2019-06-20T14:37:00Z</dcterms:created>
  <dcterms:modified xsi:type="dcterms:W3CDTF">2019-06-20T14:37:00Z</dcterms:modified>
</cp:coreProperties>
</file>