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640" w:rsidRDefault="001E1640" w:rsidP="001E1640">
      <w:pPr>
        <w:widowControl w:val="0"/>
        <w:jc w:val="center"/>
      </w:pPr>
      <w:r w:rsidRPr="001E1640">
        <w:rPr>
          <w:b/>
        </w:rPr>
        <w:t>South Carolina General Assembly</w:t>
      </w:r>
    </w:p>
    <w:p w:rsidR="001E1640" w:rsidRDefault="001E1640" w:rsidP="001E1640">
      <w:pPr>
        <w:widowControl w:val="0"/>
        <w:jc w:val="center"/>
      </w:pPr>
      <w:r>
        <w:t>123rd Session, 2019-2020</w:t>
      </w:r>
    </w:p>
    <w:p w:rsidR="001E1640" w:rsidRDefault="001E1640" w:rsidP="001E1640">
      <w:pPr>
        <w:widowControl w:val="0"/>
      </w:pPr>
    </w:p>
    <w:p w:rsidR="001E1640" w:rsidRDefault="001E1640" w:rsidP="001E1640">
      <w:pPr>
        <w:widowControl w:val="0"/>
        <w:rPr>
          <w:b/>
        </w:rPr>
      </w:pPr>
      <w:r w:rsidRPr="001E1640">
        <w:rPr>
          <w:b/>
        </w:rPr>
        <w:t>S.</w:t>
      </w:r>
      <w:r>
        <w:rPr>
          <w:b/>
        </w:rPr>
        <w:t xml:space="preserve"> </w:t>
      </w:r>
      <w:r w:rsidRPr="001E1640">
        <w:rPr>
          <w:b/>
        </w:rPr>
        <w:t>574</w:t>
      </w:r>
    </w:p>
    <w:p w:rsidR="001E1640" w:rsidRDefault="001E1640" w:rsidP="001E1640">
      <w:pPr>
        <w:widowControl w:val="0"/>
        <w:rPr>
          <w:b/>
        </w:rPr>
      </w:pPr>
    </w:p>
    <w:p w:rsidR="001E1640" w:rsidRDefault="001E1640" w:rsidP="001E1640">
      <w:pPr>
        <w:widowControl w:val="0"/>
      </w:pPr>
      <w:r w:rsidRPr="001E1640">
        <w:rPr>
          <w:b/>
        </w:rPr>
        <w:t>STATUS INFORMATION</w:t>
      </w:r>
    </w:p>
    <w:p w:rsidR="001E1640" w:rsidRDefault="001E1640" w:rsidP="001E1640">
      <w:pPr>
        <w:widowControl w:val="0"/>
      </w:pPr>
    </w:p>
    <w:p w:rsidR="001E1640" w:rsidRDefault="001E1640" w:rsidP="001E1640">
      <w:pPr>
        <w:widowControl w:val="0"/>
      </w:pPr>
      <w:r>
        <w:t>General Bill</w:t>
      </w:r>
    </w:p>
    <w:p w:rsidR="001E1640" w:rsidRDefault="008F4CDB" w:rsidP="001E1640">
      <w:pPr>
        <w:widowControl w:val="0"/>
      </w:pPr>
      <w:r>
        <w:t>Sponsors: Senators Verdin, Campbell, Williams, Gambrell, Hutto and Loftis</w:t>
      </w:r>
    </w:p>
    <w:p w:rsidR="001E1640" w:rsidRDefault="001E1640" w:rsidP="001E1640">
      <w:pPr>
        <w:widowControl w:val="0"/>
      </w:pPr>
      <w:r>
        <w:t>Document Path: l:\s-res\dbv\008pyro.kmm.dbv.docx</w:t>
      </w:r>
    </w:p>
    <w:p w:rsidR="005E187F" w:rsidRDefault="005E187F" w:rsidP="001E1640">
      <w:pPr>
        <w:widowControl w:val="0"/>
      </w:pPr>
      <w:r>
        <w:t>Companion/Similar bill(s): 4152</w:t>
      </w:r>
    </w:p>
    <w:p w:rsidR="001E1640" w:rsidRDefault="001E1640" w:rsidP="001E1640">
      <w:pPr>
        <w:widowControl w:val="0"/>
      </w:pPr>
    </w:p>
    <w:p w:rsidR="001E1640" w:rsidRDefault="001E1640" w:rsidP="001E1640">
      <w:pPr>
        <w:widowControl w:val="0"/>
      </w:pPr>
      <w:r>
        <w:t>Introduced in the Senate on February 27, 2019</w:t>
      </w:r>
    </w:p>
    <w:p w:rsidR="001E1640" w:rsidRDefault="001E1640" w:rsidP="001E1640">
      <w:pPr>
        <w:widowControl w:val="0"/>
      </w:pPr>
      <w:r>
        <w:t xml:space="preserve">Currently residing in the Senate Committee on </w:t>
      </w:r>
      <w:r w:rsidRPr="001E1640">
        <w:rPr>
          <w:b/>
        </w:rPr>
        <w:t>Medical Affairs</w:t>
      </w:r>
    </w:p>
    <w:p w:rsidR="001E1640" w:rsidRDefault="001E1640" w:rsidP="001E1640">
      <w:pPr>
        <w:widowControl w:val="0"/>
      </w:pPr>
    </w:p>
    <w:p w:rsidR="001E1640" w:rsidRDefault="001E1640" w:rsidP="001E1640">
      <w:pPr>
        <w:widowControl w:val="0"/>
      </w:pPr>
      <w:r>
        <w:t xml:space="preserve">Summary: </w:t>
      </w:r>
      <w:r w:rsidR="00C76976">
        <w:t>Solid waste policy and management</w:t>
      </w:r>
    </w:p>
    <w:p w:rsidR="001E1640" w:rsidRDefault="001E1640" w:rsidP="001E1640">
      <w:pPr>
        <w:widowControl w:val="0"/>
      </w:pPr>
    </w:p>
    <w:p w:rsidR="001E1640" w:rsidRDefault="001E1640" w:rsidP="001E1640">
      <w:pPr>
        <w:widowControl w:val="0"/>
      </w:pPr>
    </w:p>
    <w:p w:rsidR="001E1640" w:rsidRDefault="001E1640" w:rsidP="001E1640">
      <w:pPr>
        <w:widowControl w:val="0"/>
        <w:tabs>
          <w:tab w:val="center" w:pos="590"/>
          <w:tab w:val="center" w:pos="1440"/>
          <w:tab w:val="left" w:pos="1872"/>
          <w:tab w:val="left" w:pos="9187"/>
        </w:tabs>
      </w:pPr>
      <w:r w:rsidRPr="001E1640">
        <w:rPr>
          <w:b/>
        </w:rPr>
        <w:t>HISTORY OF LEGISLATIVE ACTIONS</w:t>
      </w:r>
    </w:p>
    <w:p w:rsidR="001E1640" w:rsidRDefault="001E1640" w:rsidP="001E1640">
      <w:pPr>
        <w:widowControl w:val="0"/>
        <w:tabs>
          <w:tab w:val="center" w:pos="590"/>
          <w:tab w:val="center" w:pos="1440"/>
          <w:tab w:val="left" w:pos="1872"/>
          <w:tab w:val="left" w:pos="9187"/>
        </w:tabs>
      </w:pPr>
    </w:p>
    <w:p w:rsidR="001E1640" w:rsidRPr="001E1640" w:rsidRDefault="001E1640" w:rsidP="001E1640">
      <w:pPr>
        <w:widowControl w:val="0"/>
        <w:tabs>
          <w:tab w:val="center" w:pos="590"/>
          <w:tab w:val="center" w:pos="1440"/>
          <w:tab w:val="left" w:pos="1872"/>
          <w:tab w:val="left" w:pos="9187"/>
        </w:tabs>
      </w:pPr>
      <w:r w:rsidRPr="001E1640">
        <w:rPr>
          <w:u w:val="single"/>
        </w:rPr>
        <w:tab/>
        <w:t>Date</w:t>
      </w:r>
      <w:r w:rsidRPr="001E1640">
        <w:rPr>
          <w:u w:val="single"/>
        </w:rPr>
        <w:tab/>
        <w:t>Body</w:t>
      </w:r>
      <w:r w:rsidRPr="001E1640">
        <w:rPr>
          <w:u w:val="single"/>
        </w:rPr>
        <w:tab/>
        <w:t>Action Description with journal page number</w:t>
      </w:r>
      <w:r w:rsidRPr="001E1640">
        <w:rPr>
          <w:u w:val="single"/>
        </w:rPr>
        <w:tab/>
      </w:r>
    </w:p>
    <w:p w:rsidR="003C13E0" w:rsidRDefault="003C13E0" w:rsidP="003C13E0">
      <w:pPr>
        <w:widowControl w:val="0"/>
        <w:tabs>
          <w:tab w:val="right" w:pos="1008"/>
          <w:tab w:val="left" w:pos="1152"/>
          <w:tab w:val="left" w:pos="1872"/>
          <w:tab w:val="left" w:pos="9187"/>
        </w:tabs>
        <w:ind w:left="2088" w:hanging="2088"/>
      </w:pPr>
      <w:r>
        <w:tab/>
        <w:t>2/27/2019</w:t>
      </w:r>
      <w:r>
        <w:tab/>
        <w:t>Senate</w:t>
      </w:r>
      <w:r>
        <w:tab/>
      </w:r>
      <w:r w:rsidRPr="001C5A1E">
        <w:t>Introduced and read first time (</w:t>
      </w:r>
      <w:hyperlink r:id="rId6" w:history="1">
        <w:r w:rsidRPr="001C5A1E">
          <w:rPr>
            <w:rStyle w:val="Hyperlink"/>
          </w:rPr>
          <w:t>Senate Journal</w:t>
        </w:r>
        <w:r w:rsidRPr="001C5A1E">
          <w:rPr>
            <w:rStyle w:val="Hyperlink"/>
          </w:rPr>
          <w:noBreakHyphen/>
          <w:t>page 15</w:t>
        </w:r>
      </w:hyperlink>
      <w:r w:rsidRPr="001C5A1E">
        <w:t>)</w:t>
      </w:r>
    </w:p>
    <w:p w:rsidR="003C13E0" w:rsidRDefault="003C13E0" w:rsidP="003C13E0">
      <w:pPr>
        <w:widowControl w:val="0"/>
        <w:tabs>
          <w:tab w:val="right" w:pos="1008"/>
          <w:tab w:val="left" w:pos="1152"/>
          <w:tab w:val="left" w:pos="1872"/>
          <w:tab w:val="left" w:pos="9187"/>
        </w:tabs>
        <w:ind w:left="2088" w:hanging="2088"/>
      </w:pPr>
      <w:r>
        <w:tab/>
        <w:t>2/27/2019</w:t>
      </w:r>
      <w:r>
        <w:tab/>
        <w:t>Senate</w:t>
      </w:r>
      <w:r>
        <w:tab/>
      </w:r>
      <w:r w:rsidRPr="001C5A1E">
        <w:t xml:space="preserve">Referred </w:t>
      </w:r>
      <w:r>
        <w:t xml:space="preserve">to Committee on </w:t>
      </w:r>
      <w:r w:rsidRPr="001C5A1E">
        <w:rPr>
          <w:b/>
        </w:rPr>
        <w:t>Medical Affairs</w:t>
      </w:r>
      <w:r>
        <w:t xml:space="preserve"> </w:t>
      </w:r>
      <w:r w:rsidRPr="001C5A1E">
        <w:t>(</w:t>
      </w:r>
      <w:hyperlink r:id="rId7" w:history="1">
        <w:r w:rsidRPr="001C5A1E">
          <w:rPr>
            <w:rStyle w:val="Hyperlink"/>
          </w:rPr>
          <w:t>Senate Journal</w:t>
        </w:r>
        <w:r w:rsidRPr="001C5A1E">
          <w:rPr>
            <w:rStyle w:val="Hyperlink"/>
          </w:rPr>
          <w:noBreakHyphen/>
          <w:t>page 15</w:t>
        </w:r>
      </w:hyperlink>
      <w:r w:rsidRPr="001C5A1E">
        <w:t>)</w:t>
      </w:r>
    </w:p>
    <w:p w:rsidR="003C13E0" w:rsidRDefault="003C13E0" w:rsidP="003C13E0">
      <w:pPr>
        <w:widowControl w:val="0"/>
        <w:tabs>
          <w:tab w:val="right" w:pos="1008"/>
          <w:tab w:val="left" w:pos="1152"/>
          <w:tab w:val="left" w:pos="1872"/>
          <w:tab w:val="left" w:pos="9187"/>
        </w:tabs>
        <w:ind w:left="2088" w:hanging="2088"/>
      </w:pPr>
    </w:p>
    <w:p w:rsidR="001E1640" w:rsidRDefault="001E1640" w:rsidP="001E164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E1640">
          <w:rPr>
            <w:rStyle w:val="Hyperlink"/>
          </w:rPr>
          <w:t>legislative information</w:t>
        </w:r>
      </w:hyperlink>
      <w:r>
        <w:t xml:space="preserve"> at the website</w:t>
      </w:r>
    </w:p>
    <w:p w:rsidR="001E1640" w:rsidRDefault="001E1640" w:rsidP="001E1640">
      <w:pPr>
        <w:widowControl w:val="0"/>
        <w:tabs>
          <w:tab w:val="right" w:pos="1008"/>
          <w:tab w:val="left" w:pos="1152"/>
          <w:tab w:val="left" w:pos="1872"/>
          <w:tab w:val="left" w:pos="9187"/>
        </w:tabs>
        <w:ind w:left="2088" w:hanging="2088"/>
      </w:pPr>
    </w:p>
    <w:p w:rsidR="001E1640" w:rsidRPr="001E1640" w:rsidRDefault="001E1640" w:rsidP="001E1640">
      <w:pPr>
        <w:widowControl w:val="0"/>
        <w:tabs>
          <w:tab w:val="right" w:pos="1008"/>
          <w:tab w:val="left" w:pos="1152"/>
          <w:tab w:val="left" w:pos="1872"/>
          <w:tab w:val="left" w:pos="9187"/>
        </w:tabs>
        <w:ind w:left="2088" w:hanging="2088"/>
      </w:pPr>
    </w:p>
    <w:p w:rsidR="001E1640" w:rsidRDefault="001E1640" w:rsidP="001E1640">
      <w:pPr>
        <w:widowControl w:val="0"/>
      </w:pPr>
      <w:r w:rsidRPr="001E1640">
        <w:rPr>
          <w:b/>
        </w:rPr>
        <w:t>VERSIONS OF THIS BILL</w:t>
      </w:r>
    </w:p>
    <w:p w:rsidR="001E1640" w:rsidRDefault="001E1640" w:rsidP="001E1640">
      <w:pPr>
        <w:widowControl w:val="0"/>
      </w:pPr>
    </w:p>
    <w:p w:rsidR="001E1640" w:rsidRDefault="005930B1" w:rsidP="001E1640">
      <w:pPr>
        <w:widowControl w:val="0"/>
      </w:pPr>
      <w:hyperlink r:id="rId9" w:history="1">
        <w:r w:rsidR="001E1640">
          <w:rPr>
            <w:rStyle w:val="Hyperlink"/>
          </w:rPr>
          <w:t>2/27/2019</w:t>
        </w:r>
      </w:hyperlink>
    </w:p>
    <w:p w:rsidR="001E1640" w:rsidRDefault="001E1640" w:rsidP="001E1640"/>
    <w:p w:rsidR="001E1640" w:rsidRDefault="001E1640" w:rsidP="001E1640">
      <w:pPr>
        <w:sectPr w:rsidR="001E1640" w:rsidSect="001E1640">
          <w:pgSz w:w="12240" w:h="15840" w:code="1"/>
          <w:pgMar w:top="1080" w:right="1440" w:bottom="1080" w:left="1440" w:header="720" w:footer="720" w:gutter="0"/>
          <w:cols w:space="720"/>
          <w:noEndnote/>
          <w:docGrid w:linePitch="360"/>
        </w:sectPr>
      </w:pPr>
    </w:p>
    <w:p w:rsidR="00AB2309" w:rsidRPr="00522CE0" w:rsidRDefault="00AB2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10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3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44-96-40 OF THE 1976 CODE, RELATING TO SOLID WASTE POLICY AND MANAGEMENT, TO PROVIDE THAT POST-USE POLYMERS AND RECOVERABLE FEEDSTOCKS USED IN PYROLYSIS AND GASIFICATION PROCESSES ARE RECOVERED MATERIALS</w:t>
      </w:r>
      <w:r w:rsidR="00802B9B">
        <w:rPr>
          <w:rFonts w:eastAsia="Times New Roman"/>
        </w:rPr>
        <w:t xml:space="preserve"> AND ARE NOT “SOLID WASTE” FOR THE PURPOSES OF REGULATION BY THE DEPARTMENT OF HEALTH AND ENVIRONMENTAL CONTROL</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100C"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100C"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00C"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01B74">
        <w:rPr>
          <w:rFonts w:eastAsia="Times New Roman"/>
        </w:rPr>
        <w:t>Section 44-96-4</w:t>
      </w:r>
      <w:r w:rsidR="006A0EC9">
        <w:rPr>
          <w:rFonts w:eastAsia="Times New Roman"/>
        </w:rPr>
        <w:t>0 of the 1976 Code is amended by adding appropriately numbered new items to read:</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‘Gasification’ means a process through which recoverable feedstocks are heated and conver</w:t>
      </w:r>
      <w:r w:rsidR="008940C0">
        <w:rPr>
          <w:rFonts w:eastAsia="Times New Roman"/>
        </w:rPr>
        <w:t>t</w:t>
      </w:r>
      <w:r>
        <w:rPr>
          <w:rFonts w:eastAsia="Times New Roman"/>
        </w:rPr>
        <w:t>ed into a fuel-gas mixture in an oxygen-deficient atmosphere and the mixture is converted to crude oil, die</w:t>
      </w:r>
      <w:r w:rsidR="008940C0">
        <w:rPr>
          <w:rFonts w:eastAsia="Times New Roman"/>
        </w:rPr>
        <w:t>sel, gasoline, home heating oil</w:t>
      </w:r>
      <w:r>
        <w:rPr>
          <w:rFonts w:eastAsia="Times New Roman"/>
        </w:rPr>
        <w:t xml:space="preserve"> or other fuels, chemicals, waxes, lubricant</w:t>
      </w:r>
      <w:r w:rsidR="008940C0">
        <w:rPr>
          <w:rFonts w:eastAsia="Times New Roman"/>
        </w:rPr>
        <w:t>s</w:t>
      </w:r>
      <w:r>
        <w:rPr>
          <w:rFonts w:eastAsia="Times New Roman"/>
        </w:rPr>
        <w:t>, chemical feedstocks, diesel and gasoline blendstocks, or other raw materials or intermediate or final products that are returned to the economic mainstream in the form of raw materials, products, or fuel</w:t>
      </w:r>
      <w:r w:rsidR="008940C0">
        <w:rPr>
          <w:rFonts w:eastAsia="Times New Roman"/>
        </w:rPr>
        <w:t>s</w:t>
      </w:r>
      <w:r>
        <w:rPr>
          <w:rFonts w:eastAsia="Times New Roman"/>
        </w:rPr>
        <w:t>. Gasification is not incineration, energy recovery, or treatment.</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‘Gasification facility’ means a facility that receives, separates, stores, and converts post-use polymers and recoverable feedstocks using gasification. A gasification facility is not a solid waste processing facility, solid waste management facility, or materials recovery facility.</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‘Post-use polymer’ means a plastic polymer to which all of the following apply:</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(a)</w:t>
      </w:r>
      <w:r>
        <w:rPr>
          <w:rFonts w:eastAsia="Times New Roman"/>
        </w:rPr>
        <w:tab/>
        <w:t>it is derived from any industrial, commercial, agricultural, or domestic activities;</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its use or intended use is to manufacture crude oil, fuels, feedstocks, blendstocks, raw materials, or other intermediate products or final products using pyrolysis or gasification; and</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it may contain incidental contam</w:t>
      </w:r>
      <w:r w:rsidR="00497F12">
        <w:rPr>
          <w:rFonts w:eastAsia="Times New Roman"/>
        </w:rPr>
        <w:t>ina</w:t>
      </w:r>
      <w:r>
        <w:rPr>
          <w:rFonts w:eastAsia="Times New Roman"/>
        </w:rPr>
        <w:t>nts or impurities, such as paper labels or metal rings.</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 xml:space="preserve">‘Pyrolysis’ means a process through which post-use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w:t>
      </w:r>
      <w:r w:rsidR="00497F12">
        <w:rPr>
          <w:rFonts w:eastAsia="Times New Roman"/>
        </w:rPr>
        <w:t xml:space="preserve">or </w:t>
      </w:r>
      <w:r>
        <w:rPr>
          <w:rFonts w:eastAsia="Times New Roman"/>
        </w:rPr>
        <w:t>final products that are returned to the economic mainstream in the form of raw materials, products, or fuels. Pyrolysis is not incineration, energy recovery, or treatment.</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‘Pyrolysis facility’ means a facility that receives, se</w:t>
      </w:r>
      <w:r w:rsidR="00497F12">
        <w:rPr>
          <w:rFonts w:eastAsia="Times New Roman"/>
        </w:rPr>
        <w:t>p</w:t>
      </w:r>
      <w:r>
        <w:rPr>
          <w:rFonts w:eastAsia="Times New Roman"/>
        </w:rPr>
        <w:t>arates, stores, and converts post-use polymers using pyrolysis. A pyrolysis facility is not a solid waste processing facility, solid waste management facility, or materials recovery facility.</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)(a)</w:t>
      </w:r>
      <w:r>
        <w:rPr>
          <w:rFonts w:eastAsia="Times New Roman"/>
        </w:rPr>
        <w:tab/>
        <w:t>‘Recoverable feedstock’ means one or more of the following materials, derived from recoverable waste, that has been processed so that it may be used as feedstock in a gasification facility:</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t>post-use polymers;</w:t>
      </w:r>
      <w:r w:rsidR="00802B9B">
        <w:rPr>
          <w:rFonts w:eastAsia="Times New Roman"/>
        </w:rPr>
        <w:t xml:space="preserve"> or</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Pr>
          <w:rFonts w:eastAsia="Times New Roman"/>
        </w:rPr>
        <w:tab/>
        <w:t xml:space="preserve">materials for which the United States Environmental Protection Agency has made a nonwaste determination under 40 C.F.R. 241.3(c) or </w:t>
      </w:r>
      <w:r w:rsidR="00802B9B">
        <w:rPr>
          <w:rFonts w:eastAsia="Times New Roman"/>
        </w:rPr>
        <w:t xml:space="preserve">for which it </w:t>
      </w:r>
      <w:r>
        <w:rPr>
          <w:rFonts w:eastAsia="Times New Roman"/>
        </w:rPr>
        <w:t>has otherwise determined are not solid waste.</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F5A56">
        <w:rPr>
          <w:rFonts w:eastAsia="Times New Roman"/>
        </w:rPr>
        <w:tab/>
      </w:r>
      <w:r>
        <w:rPr>
          <w:rFonts w:eastAsia="Times New Roman"/>
        </w:rPr>
        <w:t>(b)</w:t>
      </w:r>
      <w:r>
        <w:rPr>
          <w:rFonts w:eastAsia="Times New Roman"/>
        </w:rPr>
        <w:tab/>
        <w:t>Recoverable feedstock does not include unprocessed municipal solid waste.”</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44-96-</w:t>
      </w:r>
      <w:r w:rsidR="00201B74">
        <w:rPr>
          <w:rFonts w:eastAsia="Times New Roman"/>
        </w:rPr>
        <w:t>4</w:t>
      </w:r>
      <w:r>
        <w:rPr>
          <w:rFonts w:eastAsia="Times New Roman"/>
        </w:rPr>
        <w:t>0(34)</w:t>
      </w:r>
      <w:r w:rsidR="00EE166D">
        <w:rPr>
          <w:rFonts w:eastAsia="Times New Roman"/>
        </w:rPr>
        <w:t>, (35), and (46)</w:t>
      </w:r>
      <w:r>
        <w:rPr>
          <w:rFonts w:eastAsia="Times New Roman"/>
        </w:rPr>
        <w:t xml:space="preserve"> of the 1976 Code is amended to read:</w:t>
      </w:r>
    </w:p>
    <w:p w:rsidR="006A0EC9" w:rsidRDefault="006A0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1B74" w:rsidRDefault="006A0EC9" w:rsidP="00201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201B74" w:rsidRPr="00D0257C">
        <w:t>(34)</w:t>
      </w:r>
      <w:r w:rsidR="00201B74">
        <w:tab/>
        <w:t>‘</w:t>
      </w:r>
      <w:r w:rsidR="00201B74" w:rsidRPr="00D0257C">
        <w:t>Recovered materials</w:t>
      </w:r>
      <w:r w:rsidR="00201B74">
        <w:t>’</w:t>
      </w:r>
      <w:r w:rsidR="00201B74" w:rsidRPr="00D0257C">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w:t>
      </w:r>
      <w:r w:rsidR="00201B74">
        <w:t xml:space="preserve"> </w:t>
      </w:r>
      <w:r w:rsidR="00201B74">
        <w:rPr>
          <w:u w:val="single"/>
        </w:rPr>
        <w:t>Recovered materials include</w:t>
      </w:r>
      <w:r w:rsidR="00497F12">
        <w:rPr>
          <w:u w:val="single"/>
        </w:rPr>
        <w:t>s</w:t>
      </w:r>
      <w:r w:rsidR="00201B74">
        <w:rPr>
          <w:u w:val="single"/>
        </w:rPr>
        <w:t xml:space="preserve"> post-use polymers and recoverable feedstocks that are processed at a pyrolysis or gasification facility, held at such facility prior to processing, or stored off-site with the intent that they will be processed at a pyrolysis or gasification facility but before delivery to such a facility.</w:t>
      </w:r>
      <w:r w:rsidR="00201B74" w:rsidRPr="00D0257C">
        <w:t xml:space="preserve"> At least seventy</w:t>
      </w:r>
      <w:r w:rsidR="007026CE">
        <w:noBreakHyphen/>
      </w:r>
      <w:r w:rsidR="00201B74" w:rsidRPr="00D0257C">
        <w:t>five percent by weight of the materials received during the previous calendar year must be used, reused, recycled, or transferred to a different site for use, reuse, or recycling in order to qualify as a recovered material.</w:t>
      </w:r>
    </w:p>
    <w:p w:rsidR="00201B74" w:rsidRDefault="00201B74" w:rsidP="00201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0257C">
        <w:tab/>
        <w:t>(35)</w:t>
      </w:r>
      <w:r>
        <w:tab/>
        <w:t>‘</w:t>
      </w:r>
      <w:r w:rsidRPr="00D0257C">
        <w:t>Recovered Materials Processing Facility</w:t>
      </w:r>
      <w:r>
        <w:t>’</w:t>
      </w:r>
      <w:r w:rsidRPr="00D0257C">
        <w:t xml:space="preserve"> means a facility engaged solely in the recycling, storage, processing, and resale or reuse of recovered materials.</w:t>
      </w:r>
      <w:r>
        <w:t xml:space="preserve"> </w:t>
      </w:r>
      <w:r>
        <w:rPr>
          <w:u w:val="single"/>
        </w:rPr>
        <w:t>The term includes pyrolysis and gasification facilities that process post-use polymers or recoverable feedstocks.</w:t>
      </w:r>
      <w:r w:rsidRPr="00D0257C">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201B74" w:rsidRDefault="00201B74" w:rsidP="00201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A0EC9" w:rsidRPr="00201B74" w:rsidRDefault="00201B74" w:rsidP="00201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(46)</w:t>
      </w:r>
      <w:r>
        <w:tab/>
        <w:t>‘</w:t>
      </w:r>
      <w:r w:rsidRPr="00D0257C">
        <w:t>Solid waste</w:t>
      </w:r>
      <w:r>
        <w:t>’</w:t>
      </w:r>
      <w:r w:rsidRPr="00D0257C">
        <w:t xml:space="preserve"> means any garbage, refuse, or sludge from a waste treatment facility, water supply plant, or air pollution control facility and other discarded material, including solid, liquid, semi</w:t>
      </w:r>
      <w:r w:rsidR="007026CE">
        <w:noBreakHyphen/>
      </w:r>
      <w:r w:rsidRPr="00D0257C">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7026CE">
        <w:noBreakHyphen/>
      </w:r>
      <w:r w:rsidRPr="00D0257C">
        <w:t>product material as defined by the Atomic Energy Act of 1954, as amended.</w:t>
      </w:r>
      <w:r>
        <w:t xml:space="preserve"> </w:t>
      </w:r>
      <w:r>
        <w:rPr>
          <w:u w:val="single"/>
        </w:rPr>
        <w:t>This term also does not include post-use polymers and recoverable feedstocks that are processed at a pyrolysis or gasification facility, held at such facility prior to processing, or stored off-site with the intent that they will be processed at a pyrolysis or gas</w:t>
      </w:r>
      <w:r w:rsidR="00802B9B">
        <w:rPr>
          <w:u w:val="single"/>
        </w:rPr>
        <w:t>ification facility</w:t>
      </w:r>
      <w:r>
        <w:rPr>
          <w:u w:val="single"/>
        </w:rPr>
        <w:t xml:space="preserve"> but before delivery to such a facility.</w:t>
      </w:r>
      <w:r w:rsidRPr="00D0257C">
        <w:t xml:space="preserve">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For the purposes 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r w:rsidR="006A0EC9">
        <w:rPr>
          <w:rFonts w:eastAsia="Times New Roman"/>
        </w:rPr>
        <w:t>”</w:t>
      </w:r>
    </w:p>
    <w:p w:rsidR="004D100C"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00C" w:rsidRPr="00522CE0" w:rsidRDefault="004D1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EC9">
        <w:rPr>
          <w:rFonts w:eastAsia="Times New Roman"/>
        </w:rPr>
        <w:t>3</w:t>
      </w:r>
      <w:r>
        <w:rPr>
          <w:rFonts w:eastAsia="Times New Roman"/>
        </w:rPr>
        <w:t>.</w:t>
      </w:r>
      <w:r>
        <w:rPr>
          <w:rFonts w:eastAsia="Times New Roman"/>
        </w:rPr>
        <w:tab/>
        <w:t>This act takes effect upon approval by the Governor.</w:t>
      </w:r>
    </w:p>
    <w:p w:rsidR="00ED1AAE" w:rsidRDefault="007026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1640" w:rsidRDefault="001E1640" w:rsidP="001E1640">
      <w:pPr>
        <w:suppressAutoHyphens/>
        <w:jc w:val="both"/>
        <w:rPr>
          <w:rFonts w:eastAsia="Times New Roman"/>
        </w:rPr>
      </w:pPr>
    </w:p>
    <w:sectPr w:rsidR="001E1640" w:rsidSect="001E16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EC9" w:rsidRDefault="006A0EC9" w:rsidP="00522CE0">
      <w:r>
        <w:separator/>
      </w:r>
    </w:p>
  </w:endnote>
  <w:endnote w:type="continuationSeparator" w:id="0">
    <w:p w:rsidR="006A0EC9" w:rsidRDefault="006A0E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078D57-501B-4997-ADA6-A0BAE483EC83}"/>
    <w:embedBold r:id="rId2" w:fontKey="{446FC480-51D8-41D9-9557-A7355C0ADD28}"/>
  </w:font>
  <w:font w:name="Calibri">
    <w:panose1 w:val="020F0502020204030204"/>
    <w:charset w:val="00"/>
    <w:family w:val="swiss"/>
    <w:pitch w:val="variable"/>
    <w:sig w:usb0="E00002FF" w:usb1="4000ACFF" w:usb2="00000001" w:usb3="00000000" w:csb0="0000019F" w:csb1="00000000"/>
    <w:embedRegular r:id="rId3" w:fontKey="{522BD804-1445-4F94-B2FC-DE3CB15947B5}"/>
    <w:embedBold r:id="rId4" w:fontKey="{F53CE9E4-E4A1-4EB0-81FD-20A64D616992}"/>
  </w:font>
  <w:font w:name="Cambria">
    <w:panose1 w:val="02040503050406030204"/>
    <w:charset w:val="00"/>
    <w:family w:val="roman"/>
    <w:pitch w:val="variable"/>
    <w:sig w:usb0="E00002FF" w:usb1="400004FF" w:usb2="00000000" w:usb3="00000000" w:csb0="0000019F" w:csb1="00000000"/>
    <w:embedRegular r:id="rId5" w:fontKey="{28F57E16-4AD3-40C8-885C-EE52CCFD3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640" w:rsidRPr="00AB2309" w:rsidRDefault="001E1640" w:rsidP="00AB2309">
    <w:pPr>
      <w:pStyle w:val="Footer"/>
      <w:tabs>
        <w:tab w:val="clear" w:pos="4680"/>
        <w:tab w:val="clear" w:pos="9360"/>
        <w:tab w:val="center" w:pos="2995"/>
      </w:tabs>
      <w:spacing w:before="120"/>
    </w:pPr>
    <w:r>
      <w:t>[574]</w:t>
    </w:r>
    <w:r>
      <w:tab/>
    </w:r>
    <w:r>
      <w:fldChar w:fldCharType="begin"/>
    </w:r>
    <w:r>
      <w:instrText xml:space="preserve"> PAGE  \* MERGEFORMAT </w:instrText>
    </w:r>
    <w:r>
      <w:fldChar w:fldCharType="separate"/>
    </w:r>
    <w:r w:rsidR="008F4C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EC9" w:rsidRDefault="006A0EC9" w:rsidP="00522CE0">
      <w:r>
        <w:separator/>
      </w:r>
    </w:p>
  </w:footnote>
  <w:footnote w:type="continuationSeparator" w:id="0">
    <w:p w:rsidR="006A0EC9" w:rsidRDefault="006A0E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YRO.KMM.DBV"/>
    <w:docVar w:name="CoverAttorneyInitials" w:val="KMM"/>
    <w:docVar w:name="CoverAttorneyLastName" w:val="Moffitt"/>
    <w:docVar w:name="CoverBillType" w:val="b"/>
    <w:docVar w:name="CoverSenator" w:val="DBV"/>
    <w:docVar w:name="dvBillNumber" w:val="574"/>
    <w:docVar w:name="dvBillNumberPrefix" w:val="S. "/>
    <w:docVar w:name="dvOriginalBody" w:val="Senate"/>
    <w:docVar w:name="fulldraftpath" w:val="L:\S-RES\DBV\008PYRO.KMM.DBV.DOCX"/>
    <w:docVar w:name="NameofBody" w:val="S"/>
    <w:docVar w:name="vgroup2" w:val="S-RES"/>
  </w:docVars>
  <w:rsids>
    <w:rsidRoot w:val="004D100C"/>
    <w:rsid w:val="00042AC1"/>
    <w:rsid w:val="00046516"/>
    <w:rsid w:val="00071CAD"/>
    <w:rsid w:val="00072458"/>
    <w:rsid w:val="0007601D"/>
    <w:rsid w:val="000B0720"/>
    <w:rsid w:val="000B5EAF"/>
    <w:rsid w:val="000D054A"/>
    <w:rsid w:val="001315B2"/>
    <w:rsid w:val="00170561"/>
    <w:rsid w:val="00186AC9"/>
    <w:rsid w:val="00197DF1"/>
    <w:rsid w:val="001B3DD9"/>
    <w:rsid w:val="001B7E5D"/>
    <w:rsid w:val="001C33FE"/>
    <w:rsid w:val="001D3BAC"/>
    <w:rsid w:val="001E1640"/>
    <w:rsid w:val="00201B74"/>
    <w:rsid w:val="00216025"/>
    <w:rsid w:val="00245C4E"/>
    <w:rsid w:val="002C1321"/>
    <w:rsid w:val="002C2031"/>
    <w:rsid w:val="002C5896"/>
    <w:rsid w:val="002D3BED"/>
    <w:rsid w:val="00307C2B"/>
    <w:rsid w:val="00315D04"/>
    <w:rsid w:val="00383247"/>
    <w:rsid w:val="003C13E0"/>
    <w:rsid w:val="003D6E2B"/>
    <w:rsid w:val="003E7597"/>
    <w:rsid w:val="00413EBF"/>
    <w:rsid w:val="0044020F"/>
    <w:rsid w:val="00450668"/>
    <w:rsid w:val="00454138"/>
    <w:rsid w:val="004813A2"/>
    <w:rsid w:val="004952FA"/>
    <w:rsid w:val="00497F12"/>
    <w:rsid w:val="004B6A22"/>
    <w:rsid w:val="004D100C"/>
    <w:rsid w:val="004D7F37"/>
    <w:rsid w:val="004F5A56"/>
    <w:rsid w:val="00522CE0"/>
    <w:rsid w:val="00541951"/>
    <w:rsid w:val="00565148"/>
    <w:rsid w:val="00570403"/>
    <w:rsid w:val="00593361"/>
    <w:rsid w:val="005A413B"/>
    <w:rsid w:val="005A5017"/>
    <w:rsid w:val="005A648C"/>
    <w:rsid w:val="005E187F"/>
    <w:rsid w:val="005F07AC"/>
    <w:rsid w:val="005F1745"/>
    <w:rsid w:val="006A0EC9"/>
    <w:rsid w:val="006A1802"/>
    <w:rsid w:val="006C0CBB"/>
    <w:rsid w:val="006C74EA"/>
    <w:rsid w:val="007025DF"/>
    <w:rsid w:val="007026CE"/>
    <w:rsid w:val="00720D40"/>
    <w:rsid w:val="007318D4"/>
    <w:rsid w:val="00765784"/>
    <w:rsid w:val="007A4390"/>
    <w:rsid w:val="007E5CB7"/>
    <w:rsid w:val="00802B9B"/>
    <w:rsid w:val="008314D2"/>
    <w:rsid w:val="00870F6F"/>
    <w:rsid w:val="008940C0"/>
    <w:rsid w:val="008B2F42"/>
    <w:rsid w:val="008C3697"/>
    <w:rsid w:val="008E185F"/>
    <w:rsid w:val="008F023B"/>
    <w:rsid w:val="008F4CDB"/>
    <w:rsid w:val="00904E16"/>
    <w:rsid w:val="009162B3"/>
    <w:rsid w:val="00927C62"/>
    <w:rsid w:val="00983951"/>
    <w:rsid w:val="00984124"/>
    <w:rsid w:val="00984640"/>
    <w:rsid w:val="00995C37"/>
    <w:rsid w:val="009C118A"/>
    <w:rsid w:val="00A02011"/>
    <w:rsid w:val="00A128F2"/>
    <w:rsid w:val="00A4011E"/>
    <w:rsid w:val="00A86015"/>
    <w:rsid w:val="00A9594E"/>
    <w:rsid w:val="00AB2309"/>
    <w:rsid w:val="00AE59C8"/>
    <w:rsid w:val="00B10098"/>
    <w:rsid w:val="00B5790D"/>
    <w:rsid w:val="00B57B72"/>
    <w:rsid w:val="00B945C5"/>
    <w:rsid w:val="00BA20EA"/>
    <w:rsid w:val="00BB5AFC"/>
    <w:rsid w:val="00BC0A56"/>
    <w:rsid w:val="00C45366"/>
    <w:rsid w:val="00C57023"/>
    <w:rsid w:val="00C74052"/>
    <w:rsid w:val="00C7697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1AAE"/>
    <w:rsid w:val="00EE166D"/>
    <w:rsid w:val="00F0234A"/>
    <w:rsid w:val="00F05CF2"/>
    <w:rsid w:val="00F51241"/>
    <w:rsid w:val="00F52959"/>
    <w:rsid w:val="00F55884"/>
    <w:rsid w:val="00F73CF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5EC72A1-AA5A-4A88-96A2-6B6EF753F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E1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74&amp;session=123&amp;summary=B" TargetMode="External"/><Relationship Id="rId3" Type="http://schemas.openxmlformats.org/officeDocument/2006/relationships/webSettings" Target="webSettings.xml"/><Relationship Id="rId7" Type="http://schemas.openxmlformats.org/officeDocument/2006/relationships/hyperlink" Target="file:///h:\sj\2019022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2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74_2019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7657B98F.dotm</Template>
  <TotalTime>0</TotalTime>
  <Pages>3</Pages>
  <Words>1220</Words>
  <Characters>6822</Characters>
  <Application>Microsoft Office Word</Application>
  <DocSecurity>0</DocSecurity>
  <Lines>184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574: Solid waste policy and management - South Carolina Legislature Online</dc:title>
  <dc:subject/>
  <dc:creator>Rebecca Landau</dc:creator>
  <cp:keywords/>
  <dc:description/>
  <cp:lastModifiedBy>S Volk</cp:lastModifiedBy>
  <cp:revision>2</cp:revision>
  <dcterms:created xsi:type="dcterms:W3CDTF">2019-04-09T21:00:00Z</dcterms:created>
  <dcterms:modified xsi:type="dcterms:W3CDTF">2019-04-09T21:00:00Z</dcterms:modified>
</cp:coreProperties>
</file>