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5FE" w:rsidRDefault="004365FE" w:rsidP="004365FE">
      <w:pPr>
        <w:widowControl w:val="0"/>
        <w:jc w:val="center"/>
      </w:pPr>
      <w:r w:rsidRPr="004365FE">
        <w:rPr>
          <w:b/>
        </w:rPr>
        <w:t>South Carolina General Assembly</w:t>
      </w:r>
    </w:p>
    <w:p w:rsidR="004365FE" w:rsidRDefault="004365FE" w:rsidP="004365FE">
      <w:pPr>
        <w:widowControl w:val="0"/>
        <w:jc w:val="center"/>
      </w:pPr>
      <w:r>
        <w:t>123rd Session, 2019-2020</w:t>
      </w:r>
    </w:p>
    <w:p w:rsidR="004365FE" w:rsidRDefault="004365FE" w:rsidP="004365FE">
      <w:pPr>
        <w:widowControl w:val="0"/>
        <w:jc w:val="left"/>
      </w:pPr>
    </w:p>
    <w:p w:rsidR="004365FE" w:rsidRDefault="004365FE" w:rsidP="004365FE">
      <w:pPr>
        <w:widowControl w:val="0"/>
        <w:jc w:val="left"/>
        <w:rPr>
          <w:b/>
        </w:rPr>
      </w:pPr>
      <w:r w:rsidRPr="004365FE">
        <w:rPr>
          <w:b/>
        </w:rPr>
        <w:t>S.</w:t>
      </w:r>
      <w:r>
        <w:rPr>
          <w:b/>
        </w:rPr>
        <w:t xml:space="preserve"> </w:t>
      </w:r>
      <w:r w:rsidRPr="004365FE">
        <w:rPr>
          <w:b/>
        </w:rPr>
        <w:t>579</w:t>
      </w:r>
    </w:p>
    <w:p w:rsidR="004365FE" w:rsidRDefault="004365FE" w:rsidP="004365FE">
      <w:pPr>
        <w:widowControl w:val="0"/>
        <w:jc w:val="left"/>
        <w:rPr>
          <w:b/>
        </w:rPr>
      </w:pPr>
    </w:p>
    <w:p w:rsidR="004365FE" w:rsidRDefault="004365FE" w:rsidP="004365FE">
      <w:pPr>
        <w:widowControl w:val="0"/>
        <w:jc w:val="left"/>
      </w:pPr>
      <w:r w:rsidRPr="004365FE">
        <w:rPr>
          <w:b/>
        </w:rPr>
        <w:t>STATUS INFORMATION</w:t>
      </w:r>
    </w:p>
    <w:p w:rsidR="004365FE" w:rsidRDefault="004365FE" w:rsidP="004365FE">
      <w:pPr>
        <w:widowControl w:val="0"/>
        <w:jc w:val="left"/>
      </w:pPr>
    </w:p>
    <w:p w:rsidR="004365FE" w:rsidRDefault="004365FE" w:rsidP="004365FE">
      <w:pPr>
        <w:widowControl w:val="0"/>
        <w:jc w:val="left"/>
      </w:pPr>
      <w:r>
        <w:t>General Bill</w:t>
      </w:r>
    </w:p>
    <w:p w:rsidR="004365FE" w:rsidRDefault="004365FE" w:rsidP="004365FE">
      <w:pPr>
        <w:widowControl w:val="0"/>
        <w:jc w:val="left"/>
      </w:pPr>
      <w:r>
        <w:t>Sponsors: Senator Gambrell</w:t>
      </w:r>
    </w:p>
    <w:p w:rsidR="004365FE" w:rsidRDefault="004365FE" w:rsidP="004365FE">
      <w:pPr>
        <w:widowControl w:val="0"/>
        <w:jc w:val="left"/>
      </w:pPr>
      <w:r>
        <w:t>Document Path: l:\council\bills\bh\7177cz19.docx</w:t>
      </w:r>
    </w:p>
    <w:p w:rsidR="004365FE" w:rsidRDefault="004365FE" w:rsidP="004365FE">
      <w:pPr>
        <w:widowControl w:val="0"/>
        <w:jc w:val="left"/>
      </w:pPr>
    </w:p>
    <w:p w:rsidR="00685E47" w:rsidRDefault="00685E47" w:rsidP="004365FE">
      <w:pPr>
        <w:widowControl w:val="0"/>
        <w:jc w:val="left"/>
      </w:pPr>
      <w:r>
        <w:t>Introduced in the Senate on February 27, 2019</w:t>
      </w:r>
    </w:p>
    <w:p w:rsidR="00685E47" w:rsidRDefault="00685E47" w:rsidP="004365FE">
      <w:pPr>
        <w:widowControl w:val="0"/>
        <w:jc w:val="left"/>
      </w:pPr>
      <w:r>
        <w:t>Introduced in the House on March 27, 2019</w:t>
      </w:r>
    </w:p>
    <w:p w:rsidR="00685E47" w:rsidRDefault="00685E47" w:rsidP="004365FE">
      <w:pPr>
        <w:widowControl w:val="0"/>
        <w:jc w:val="left"/>
      </w:pPr>
      <w:r>
        <w:t>Last Amended on March 21, 2019</w:t>
      </w:r>
    </w:p>
    <w:p w:rsidR="00685E47" w:rsidRDefault="00685E47" w:rsidP="004365FE">
      <w:pPr>
        <w:widowControl w:val="0"/>
        <w:jc w:val="left"/>
      </w:pPr>
      <w:r>
        <w:t>Currently residing in the House</w:t>
      </w:r>
    </w:p>
    <w:p w:rsidR="00685E47" w:rsidRDefault="00685E47" w:rsidP="004365FE">
      <w:pPr>
        <w:widowControl w:val="0"/>
        <w:jc w:val="left"/>
      </w:pPr>
    </w:p>
    <w:p w:rsidR="004365FE" w:rsidRDefault="004365FE" w:rsidP="004365FE">
      <w:pPr>
        <w:widowControl w:val="0"/>
        <w:jc w:val="left"/>
      </w:pPr>
      <w:r>
        <w:t xml:space="preserve">Summary: </w:t>
      </w:r>
      <w:r w:rsidR="00990FC4">
        <w:t>Rate filings for insurers</w:t>
      </w:r>
    </w:p>
    <w:p w:rsidR="004365FE" w:rsidRDefault="004365FE" w:rsidP="004365FE">
      <w:pPr>
        <w:widowControl w:val="0"/>
        <w:jc w:val="left"/>
      </w:pPr>
    </w:p>
    <w:p w:rsidR="004365FE" w:rsidRDefault="004365FE" w:rsidP="004365FE">
      <w:pPr>
        <w:widowControl w:val="0"/>
        <w:jc w:val="left"/>
      </w:pPr>
    </w:p>
    <w:p w:rsidR="004365FE" w:rsidRDefault="004365FE" w:rsidP="004365FE">
      <w:pPr>
        <w:widowControl w:val="0"/>
        <w:tabs>
          <w:tab w:val="center" w:pos="590"/>
          <w:tab w:val="center" w:pos="1440"/>
          <w:tab w:val="left" w:pos="1872"/>
          <w:tab w:val="left" w:pos="9187"/>
        </w:tabs>
        <w:jc w:val="left"/>
      </w:pPr>
      <w:r w:rsidRPr="004365FE">
        <w:rPr>
          <w:b/>
        </w:rPr>
        <w:t>HISTORY OF LEGISLATIVE ACTIONS</w:t>
      </w:r>
    </w:p>
    <w:p w:rsidR="004365FE" w:rsidRDefault="004365FE" w:rsidP="004365FE">
      <w:pPr>
        <w:widowControl w:val="0"/>
        <w:tabs>
          <w:tab w:val="center" w:pos="590"/>
          <w:tab w:val="center" w:pos="1440"/>
          <w:tab w:val="left" w:pos="1872"/>
          <w:tab w:val="left" w:pos="9187"/>
        </w:tabs>
        <w:jc w:val="left"/>
      </w:pPr>
    </w:p>
    <w:p w:rsidR="004365FE" w:rsidRPr="004365FE" w:rsidRDefault="004365FE" w:rsidP="004365FE">
      <w:pPr>
        <w:widowControl w:val="0"/>
        <w:tabs>
          <w:tab w:val="center" w:pos="590"/>
          <w:tab w:val="center" w:pos="1440"/>
          <w:tab w:val="left" w:pos="1872"/>
          <w:tab w:val="left" w:pos="9187"/>
        </w:tabs>
        <w:jc w:val="left"/>
      </w:pPr>
      <w:r w:rsidRPr="004365FE">
        <w:rPr>
          <w:u w:val="single"/>
        </w:rPr>
        <w:tab/>
        <w:t>Date</w:t>
      </w:r>
      <w:r w:rsidRPr="004365FE">
        <w:rPr>
          <w:u w:val="single"/>
        </w:rPr>
        <w:tab/>
        <w:t>Body</w:t>
      </w:r>
      <w:r w:rsidRPr="004365FE">
        <w:rPr>
          <w:u w:val="single"/>
        </w:rPr>
        <w:tab/>
        <w:t>Action Description with journal page number</w:t>
      </w:r>
      <w:r w:rsidRPr="004365FE">
        <w:rPr>
          <w:u w:val="single"/>
        </w:rPr>
        <w:tab/>
      </w:r>
    </w:p>
    <w:p w:rsidR="00E2566C" w:rsidRDefault="00E2566C" w:rsidP="00E2566C">
      <w:pPr>
        <w:widowControl w:val="0"/>
        <w:tabs>
          <w:tab w:val="right" w:pos="1008"/>
          <w:tab w:val="left" w:pos="1152"/>
          <w:tab w:val="left" w:pos="1872"/>
          <w:tab w:val="left" w:pos="9187"/>
        </w:tabs>
        <w:ind w:left="2088" w:hanging="2088"/>
      </w:pPr>
      <w:r>
        <w:tab/>
        <w:t>2/27/2019</w:t>
      </w:r>
      <w:r>
        <w:tab/>
        <w:t>Senate</w:t>
      </w:r>
      <w:r>
        <w:tab/>
        <w:t>Introduced and read first time (</w:t>
      </w:r>
      <w:hyperlink r:id="rId7" w:history="1">
        <w:r w:rsidRPr="00B6572A">
          <w:rPr>
            <w:rStyle w:val="Hyperlink"/>
          </w:rPr>
          <w:t>Senate Journal</w:t>
        </w:r>
        <w:r w:rsidRPr="00B6572A">
          <w:rPr>
            <w:rStyle w:val="Hyperlink"/>
          </w:rPr>
          <w:noBreakHyphen/>
          <w:t>page 17</w:t>
        </w:r>
      </w:hyperlink>
      <w:r>
        <w:t>)</w:t>
      </w:r>
    </w:p>
    <w:p w:rsidR="00E2566C" w:rsidRDefault="00E2566C" w:rsidP="00E2566C">
      <w:pPr>
        <w:widowControl w:val="0"/>
        <w:tabs>
          <w:tab w:val="right" w:pos="1008"/>
          <w:tab w:val="left" w:pos="1152"/>
          <w:tab w:val="left" w:pos="1872"/>
          <w:tab w:val="left" w:pos="9187"/>
        </w:tabs>
        <w:ind w:left="2088" w:hanging="2088"/>
      </w:pPr>
      <w:r>
        <w:tab/>
        <w:t>2/27/2019</w:t>
      </w:r>
      <w:r>
        <w:tab/>
        <w:t>Senate</w:t>
      </w:r>
      <w:r>
        <w:tab/>
        <w:t xml:space="preserve">Referred to Committee on </w:t>
      </w:r>
      <w:r w:rsidRPr="00B6572A">
        <w:rPr>
          <w:b/>
        </w:rPr>
        <w:t>Banking and Insurance</w:t>
      </w:r>
      <w:r>
        <w:t xml:space="preserve"> (</w:t>
      </w:r>
      <w:hyperlink r:id="rId8" w:history="1">
        <w:r w:rsidRPr="00B6572A">
          <w:rPr>
            <w:rStyle w:val="Hyperlink"/>
          </w:rPr>
          <w:t>Senate Journal</w:t>
        </w:r>
        <w:r w:rsidRPr="00B6572A">
          <w:rPr>
            <w:rStyle w:val="Hyperlink"/>
          </w:rPr>
          <w:noBreakHyphen/>
          <w:t>page 17</w:t>
        </w:r>
      </w:hyperlink>
      <w:r>
        <w:t>)</w:t>
      </w:r>
    </w:p>
    <w:p w:rsidR="00E2566C" w:rsidRDefault="00E2566C" w:rsidP="00E2566C">
      <w:pPr>
        <w:widowControl w:val="0"/>
        <w:tabs>
          <w:tab w:val="right" w:pos="1008"/>
          <w:tab w:val="left" w:pos="1152"/>
          <w:tab w:val="left" w:pos="1872"/>
          <w:tab w:val="left" w:pos="9187"/>
        </w:tabs>
        <w:ind w:left="2088" w:hanging="2088"/>
      </w:pPr>
      <w:r>
        <w:tab/>
        <w:t>3/19/2019</w:t>
      </w:r>
      <w:r>
        <w:tab/>
        <w:t>Senate</w:t>
      </w:r>
      <w:r>
        <w:tab/>
        <w:t xml:space="preserve">Committee report: Favorable with amendment </w:t>
      </w:r>
      <w:r w:rsidRPr="00B6572A">
        <w:rPr>
          <w:b/>
        </w:rPr>
        <w:t>Banking and Insurance</w:t>
      </w:r>
      <w:r>
        <w:t xml:space="preserve"> (</w:t>
      </w:r>
      <w:hyperlink r:id="rId9" w:history="1">
        <w:r w:rsidRPr="00B6572A">
          <w:rPr>
            <w:rStyle w:val="Hyperlink"/>
          </w:rPr>
          <w:t>Senate Journal</w:t>
        </w:r>
        <w:r w:rsidRPr="00B6572A">
          <w:rPr>
            <w:rStyle w:val="Hyperlink"/>
          </w:rPr>
          <w:noBreakHyphen/>
          <w:t>page 10</w:t>
        </w:r>
      </w:hyperlink>
      <w:r>
        <w:t>)</w:t>
      </w:r>
    </w:p>
    <w:p w:rsidR="00E2566C" w:rsidRDefault="00E2566C" w:rsidP="00E2566C">
      <w:pPr>
        <w:widowControl w:val="0"/>
        <w:tabs>
          <w:tab w:val="right" w:pos="1008"/>
          <w:tab w:val="left" w:pos="1152"/>
          <w:tab w:val="left" w:pos="1872"/>
          <w:tab w:val="left" w:pos="9187"/>
        </w:tabs>
        <w:ind w:left="2088" w:hanging="2088"/>
      </w:pPr>
      <w:r>
        <w:tab/>
        <w:t>3/21/2019</w:t>
      </w:r>
      <w:r>
        <w:tab/>
        <w:t>Senate</w:t>
      </w:r>
      <w:r>
        <w:tab/>
        <w:t>Committee Amendment Adopted (</w:t>
      </w:r>
      <w:hyperlink r:id="rId10" w:history="1">
        <w:r w:rsidRPr="00B6572A">
          <w:rPr>
            <w:rStyle w:val="Hyperlink"/>
          </w:rPr>
          <w:t>Senate Journal</w:t>
        </w:r>
        <w:r w:rsidRPr="00B6572A">
          <w:rPr>
            <w:rStyle w:val="Hyperlink"/>
          </w:rPr>
          <w:noBreakHyphen/>
          <w:t>page 36</w:t>
        </w:r>
      </w:hyperlink>
      <w:r>
        <w:t>)</w:t>
      </w:r>
    </w:p>
    <w:p w:rsidR="00E2566C" w:rsidRDefault="00E2566C" w:rsidP="00E2566C">
      <w:pPr>
        <w:widowControl w:val="0"/>
        <w:tabs>
          <w:tab w:val="right" w:pos="1008"/>
          <w:tab w:val="left" w:pos="1152"/>
          <w:tab w:val="left" w:pos="1872"/>
          <w:tab w:val="left" w:pos="9187"/>
        </w:tabs>
        <w:ind w:left="2088" w:hanging="2088"/>
      </w:pPr>
      <w:r>
        <w:tab/>
        <w:t>3/21/2019</w:t>
      </w:r>
      <w:r>
        <w:tab/>
        <w:t>Senate</w:t>
      </w:r>
      <w:r>
        <w:tab/>
        <w:t>Read second time (</w:t>
      </w:r>
      <w:hyperlink r:id="rId11" w:history="1">
        <w:r w:rsidRPr="00B6572A">
          <w:rPr>
            <w:rStyle w:val="Hyperlink"/>
          </w:rPr>
          <w:t>Senate Journal</w:t>
        </w:r>
        <w:r w:rsidRPr="00B6572A">
          <w:rPr>
            <w:rStyle w:val="Hyperlink"/>
          </w:rPr>
          <w:noBreakHyphen/>
          <w:t>page 36</w:t>
        </w:r>
      </w:hyperlink>
      <w:r>
        <w:t>)</w:t>
      </w:r>
    </w:p>
    <w:p w:rsidR="00E2566C" w:rsidRDefault="00E2566C" w:rsidP="00E2566C">
      <w:pPr>
        <w:widowControl w:val="0"/>
        <w:tabs>
          <w:tab w:val="right" w:pos="1008"/>
          <w:tab w:val="left" w:pos="1152"/>
          <w:tab w:val="left" w:pos="1872"/>
          <w:tab w:val="left" w:pos="9187"/>
        </w:tabs>
        <w:ind w:left="2088" w:hanging="2088"/>
      </w:pPr>
      <w:r>
        <w:tab/>
        <w:t>3/21/2019</w:t>
      </w:r>
      <w:r>
        <w:tab/>
        <w:t>Senate</w:t>
      </w:r>
      <w:r>
        <w:tab/>
        <w:t>Roll call Ayes</w:t>
      </w:r>
      <w:r>
        <w:noBreakHyphen/>
        <w:t>36  Nays</w:t>
      </w:r>
      <w:r>
        <w:noBreakHyphen/>
        <w:t>0 (</w:t>
      </w:r>
      <w:hyperlink r:id="rId12" w:history="1">
        <w:r w:rsidRPr="00B6572A">
          <w:rPr>
            <w:rStyle w:val="Hyperlink"/>
          </w:rPr>
          <w:t>Senate Journal</w:t>
        </w:r>
        <w:r w:rsidRPr="00B6572A">
          <w:rPr>
            <w:rStyle w:val="Hyperlink"/>
          </w:rPr>
          <w:noBreakHyphen/>
          <w:t>page 36</w:t>
        </w:r>
      </w:hyperlink>
      <w:r>
        <w:t>)</w:t>
      </w:r>
    </w:p>
    <w:p w:rsidR="00E2566C" w:rsidRDefault="00E2566C" w:rsidP="00E2566C">
      <w:pPr>
        <w:widowControl w:val="0"/>
        <w:tabs>
          <w:tab w:val="right" w:pos="1008"/>
          <w:tab w:val="left" w:pos="1152"/>
          <w:tab w:val="left" w:pos="1872"/>
          <w:tab w:val="left" w:pos="9187"/>
        </w:tabs>
        <w:ind w:left="2088" w:hanging="2088"/>
      </w:pPr>
      <w:r>
        <w:tab/>
        <w:t>3/26/2019</w:t>
      </w:r>
      <w:r>
        <w:tab/>
        <w:t>Senate</w:t>
      </w:r>
      <w:r>
        <w:tab/>
        <w:t>Read third time and sent to House (</w:t>
      </w:r>
      <w:hyperlink r:id="rId13" w:history="1">
        <w:r w:rsidRPr="00B6572A">
          <w:rPr>
            <w:rStyle w:val="Hyperlink"/>
          </w:rPr>
          <w:t>Senate Journal</w:t>
        </w:r>
        <w:r w:rsidRPr="00B6572A">
          <w:rPr>
            <w:rStyle w:val="Hyperlink"/>
          </w:rPr>
          <w:noBreakHyphen/>
          <w:t>page 16</w:t>
        </w:r>
      </w:hyperlink>
      <w:r>
        <w:t>)</w:t>
      </w:r>
    </w:p>
    <w:p w:rsidR="00E2566C" w:rsidRDefault="00E2566C" w:rsidP="00E2566C">
      <w:pPr>
        <w:widowControl w:val="0"/>
        <w:tabs>
          <w:tab w:val="right" w:pos="1008"/>
          <w:tab w:val="left" w:pos="1152"/>
          <w:tab w:val="left" w:pos="1872"/>
          <w:tab w:val="left" w:pos="9187"/>
        </w:tabs>
        <w:ind w:left="2088" w:hanging="2088"/>
      </w:pPr>
      <w:r>
        <w:tab/>
        <w:t>3/27/2019</w:t>
      </w:r>
      <w:r>
        <w:tab/>
        <w:t>House</w:t>
      </w:r>
      <w:r>
        <w:tab/>
        <w:t>Introduced and read first time (</w:t>
      </w:r>
      <w:hyperlink r:id="rId14" w:history="1">
        <w:r w:rsidRPr="00B6572A">
          <w:rPr>
            <w:rStyle w:val="Hyperlink"/>
          </w:rPr>
          <w:t>House Journal</w:t>
        </w:r>
        <w:r w:rsidRPr="00B6572A">
          <w:rPr>
            <w:rStyle w:val="Hyperlink"/>
          </w:rPr>
          <w:noBreakHyphen/>
          <w:t>page 3</w:t>
        </w:r>
      </w:hyperlink>
      <w:r>
        <w:t>)</w:t>
      </w:r>
    </w:p>
    <w:p w:rsidR="00E2566C" w:rsidRDefault="00E2566C" w:rsidP="00E2566C">
      <w:pPr>
        <w:widowControl w:val="0"/>
        <w:tabs>
          <w:tab w:val="right" w:pos="1008"/>
          <w:tab w:val="left" w:pos="1152"/>
          <w:tab w:val="left" w:pos="1872"/>
          <w:tab w:val="left" w:pos="9187"/>
        </w:tabs>
        <w:ind w:left="2088" w:hanging="2088"/>
      </w:pPr>
      <w:r>
        <w:tab/>
        <w:t>3/27/2019</w:t>
      </w:r>
      <w:r>
        <w:tab/>
        <w:t>House</w:t>
      </w:r>
      <w:r>
        <w:tab/>
        <w:t xml:space="preserve">Referred to Committee on </w:t>
      </w:r>
      <w:r w:rsidRPr="00B6572A">
        <w:rPr>
          <w:b/>
        </w:rPr>
        <w:t>Labor, Commerce and Industry</w:t>
      </w:r>
      <w:r>
        <w:t xml:space="preserve"> (</w:t>
      </w:r>
      <w:hyperlink r:id="rId15" w:history="1">
        <w:r w:rsidRPr="00B6572A">
          <w:rPr>
            <w:rStyle w:val="Hyperlink"/>
          </w:rPr>
          <w:t>House Journal</w:t>
        </w:r>
        <w:r w:rsidRPr="00B6572A">
          <w:rPr>
            <w:rStyle w:val="Hyperlink"/>
          </w:rPr>
          <w:noBreakHyphen/>
          <w:t>page 3</w:t>
        </w:r>
      </w:hyperlink>
      <w:r>
        <w:t>)</w:t>
      </w:r>
    </w:p>
    <w:p w:rsidR="00E2566C" w:rsidRDefault="00E2566C" w:rsidP="00E2566C">
      <w:pPr>
        <w:widowControl w:val="0"/>
        <w:tabs>
          <w:tab w:val="right" w:pos="1008"/>
          <w:tab w:val="left" w:pos="1152"/>
          <w:tab w:val="left" w:pos="1872"/>
          <w:tab w:val="left" w:pos="9187"/>
        </w:tabs>
        <w:ind w:left="2088" w:hanging="2088"/>
      </w:pPr>
      <w:r>
        <w:tab/>
        <w:t>9/15/2020</w:t>
      </w:r>
      <w:r>
        <w:tab/>
        <w:t>House</w:t>
      </w:r>
      <w:r>
        <w:tab/>
        <w:t xml:space="preserve">Committee report: Favorable </w:t>
      </w:r>
      <w:r w:rsidRPr="00B6572A">
        <w:rPr>
          <w:b/>
        </w:rPr>
        <w:t>Labor, Commerce and Industry</w:t>
      </w:r>
      <w:r>
        <w:t xml:space="preserve"> (</w:t>
      </w:r>
      <w:hyperlink r:id="rId16" w:history="1">
        <w:r w:rsidRPr="00B6572A">
          <w:rPr>
            <w:rStyle w:val="Hyperlink"/>
          </w:rPr>
          <w:t>House Journal</w:t>
        </w:r>
        <w:r w:rsidRPr="00B6572A">
          <w:rPr>
            <w:rStyle w:val="Hyperlink"/>
          </w:rPr>
          <w:noBreakHyphen/>
          <w:t>page 65</w:t>
        </w:r>
      </w:hyperlink>
      <w:r>
        <w:t>)</w:t>
      </w:r>
    </w:p>
    <w:p w:rsidR="00E2566C" w:rsidRDefault="00E2566C" w:rsidP="00E2566C">
      <w:pPr>
        <w:widowControl w:val="0"/>
        <w:tabs>
          <w:tab w:val="right" w:pos="1008"/>
          <w:tab w:val="left" w:pos="1152"/>
          <w:tab w:val="left" w:pos="1872"/>
          <w:tab w:val="left" w:pos="9187"/>
        </w:tabs>
        <w:ind w:left="2088" w:hanging="2088"/>
      </w:pPr>
      <w:r>
        <w:tab/>
        <w:t>9/22/2020</w:t>
      </w:r>
      <w:r>
        <w:tab/>
        <w:t>House</w:t>
      </w:r>
      <w:r>
        <w:tab/>
        <w:t>Requests for debate</w:t>
      </w:r>
      <w:r>
        <w:noBreakHyphen/>
        <w:t>Rep(s).  Bamberg, Weeks, Brawley, Garvin, Pendarvis, Rose, McCravy, Hill, Stavrinakis, McGinnis, Johnson, Trantham, Stringer, B. Cox, Haddon, Magnusson, Chumley, Long, Wheeler, Thigpen, and Gilliam (</w:t>
      </w:r>
      <w:hyperlink r:id="rId17" w:history="1">
        <w:r w:rsidRPr="00B6572A">
          <w:rPr>
            <w:rStyle w:val="Hyperlink"/>
          </w:rPr>
          <w:t>House Journal</w:t>
        </w:r>
        <w:r w:rsidRPr="00B6572A">
          <w:rPr>
            <w:rStyle w:val="Hyperlink"/>
          </w:rPr>
          <w:noBreakHyphen/>
          <w:t>page 51</w:t>
        </w:r>
      </w:hyperlink>
      <w:r>
        <w:t>)</w:t>
      </w:r>
    </w:p>
    <w:p w:rsidR="00E2566C" w:rsidRDefault="00E2566C" w:rsidP="00E2566C">
      <w:pPr>
        <w:widowControl w:val="0"/>
        <w:tabs>
          <w:tab w:val="right" w:pos="1008"/>
          <w:tab w:val="left" w:pos="1152"/>
          <w:tab w:val="left" w:pos="1872"/>
          <w:tab w:val="left" w:pos="9187"/>
        </w:tabs>
        <w:ind w:left="2088" w:hanging="2088"/>
      </w:pPr>
    </w:p>
    <w:p w:rsidR="004365FE" w:rsidRDefault="004365FE" w:rsidP="004365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4365FE">
          <w:rPr>
            <w:rStyle w:val="Hyperlink"/>
          </w:rPr>
          <w:t>legislative information</w:t>
        </w:r>
      </w:hyperlink>
      <w:r>
        <w:t xml:space="preserve"> at the website</w:t>
      </w:r>
    </w:p>
    <w:p w:rsidR="004365FE" w:rsidRDefault="004365FE" w:rsidP="004365FE">
      <w:pPr>
        <w:widowControl w:val="0"/>
        <w:tabs>
          <w:tab w:val="right" w:pos="1008"/>
          <w:tab w:val="left" w:pos="1152"/>
          <w:tab w:val="left" w:pos="1872"/>
          <w:tab w:val="left" w:pos="9187"/>
        </w:tabs>
        <w:ind w:left="2088" w:hanging="2088"/>
        <w:jc w:val="left"/>
      </w:pPr>
    </w:p>
    <w:p w:rsidR="004365FE" w:rsidRPr="004365FE" w:rsidRDefault="004365FE" w:rsidP="004365FE">
      <w:pPr>
        <w:widowControl w:val="0"/>
        <w:tabs>
          <w:tab w:val="right" w:pos="1008"/>
          <w:tab w:val="left" w:pos="1152"/>
          <w:tab w:val="left" w:pos="1872"/>
          <w:tab w:val="left" w:pos="9187"/>
        </w:tabs>
        <w:ind w:left="2088" w:hanging="2088"/>
        <w:jc w:val="left"/>
      </w:pPr>
    </w:p>
    <w:p w:rsidR="004365FE" w:rsidRDefault="004365FE" w:rsidP="004365FE">
      <w:pPr>
        <w:widowControl w:val="0"/>
        <w:jc w:val="left"/>
      </w:pPr>
      <w:r w:rsidRPr="004365FE">
        <w:rPr>
          <w:b/>
        </w:rPr>
        <w:t>VERSIONS OF THIS BILL</w:t>
      </w:r>
    </w:p>
    <w:p w:rsidR="004365FE" w:rsidRDefault="004365FE" w:rsidP="004365FE">
      <w:pPr>
        <w:widowControl w:val="0"/>
        <w:jc w:val="left"/>
      </w:pPr>
    </w:p>
    <w:p w:rsidR="004365FE" w:rsidRDefault="0020052A" w:rsidP="004365FE">
      <w:pPr>
        <w:widowControl w:val="0"/>
        <w:jc w:val="left"/>
      </w:pPr>
      <w:hyperlink r:id="rId19" w:history="1">
        <w:r w:rsidR="004365FE">
          <w:rPr>
            <w:rStyle w:val="Hyperlink"/>
          </w:rPr>
          <w:t>2/27/2019</w:t>
        </w:r>
      </w:hyperlink>
    </w:p>
    <w:p w:rsidR="004365FE" w:rsidRDefault="0020052A" w:rsidP="004365FE">
      <w:hyperlink r:id="rId20" w:history="1">
        <w:r w:rsidR="00F7096D" w:rsidRPr="00F7096D">
          <w:rPr>
            <w:rStyle w:val="Hyperlink"/>
          </w:rPr>
          <w:t>3/19/2019</w:t>
        </w:r>
      </w:hyperlink>
    </w:p>
    <w:p w:rsidR="00F7096D" w:rsidRDefault="0020052A" w:rsidP="004365FE">
      <w:hyperlink r:id="rId21" w:history="1">
        <w:r w:rsidR="00EC5DD0" w:rsidRPr="00EC5DD0">
          <w:rPr>
            <w:rStyle w:val="Hyperlink"/>
          </w:rPr>
          <w:t>3/21/2019</w:t>
        </w:r>
      </w:hyperlink>
    </w:p>
    <w:p w:rsidR="00EC5DD0" w:rsidRDefault="0020052A" w:rsidP="004365FE">
      <w:hyperlink r:id="rId22" w:history="1">
        <w:r w:rsidR="004F5F54" w:rsidRPr="004F5F54">
          <w:rPr>
            <w:rStyle w:val="Hyperlink"/>
          </w:rPr>
          <w:t>9/15/2020</w:t>
        </w:r>
      </w:hyperlink>
    </w:p>
    <w:p w:rsidR="004F5F54" w:rsidRDefault="004F5F54" w:rsidP="004365FE"/>
    <w:p w:rsidR="004365FE" w:rsidRDefault="004365FE" w:rsidP="004365FE">
      <w:pPr>
        <w:sectPr w:rsidR="004365FE" w:rsidSect="004365FE">
          <w:pgSz w:w="12240" w:h="15840" w:code="1"/>
          <w:pgMar w:top="1080" w:right="1440" w:bottom="1080" w:left="1440" w:header="720" w:footer="720" w:gutter="0"/>
          <w:cols w:space="720"/>
          <w:noEndnote/>
          <w:docGrid w:linePitch="360"/>
        </w:sectPr>
      </w:pP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F5F54" w:rsidRPr="00D658CE"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Pr="00DF08F8" w:rsidRDefault="004F5F54" w:rsidP="00DF08F8">
      <w:pPr>
        <w:tabs>
          <w:tab w:val="right" w:pos="5933"/>
        </w:tabs>
        <w:suppressAutoHyphens/>
      </w:pPr>
      <w:r>
        <w:tab/>
      </w:r>
      <w:r>
        <w:rPr>
          <w:b/>
          <w:sz w:val="36"/>
        </w:rPr>
        <w:t>S. 579</w:t>
      </w: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Default="004F5F54" w:rsidP="00DF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4932">
        <w:t>Senator Gambrell</w:t>
      </w: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9/15/20--H.</w:t>
      </w: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4F5F54" w:rsidRPr="00DF08F8" w:rsidRDefault="004F5F54" w:rsidP="00DF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Default="004F5F54" w:rsidP="00DF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F5F54" w:rsidRPr="00DF08F8" w:rsidRDefault="004F5F54" w:rsidP="00DF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579) </w:t>
      </w:r>
      <w:r w:rsidRPr="00DF08F8">
        <w:rPr>
          <w:color w:val="000000" w:themeColor="text1"/>
          <w:u w:color="000000" w:themeColor="text1"/>
        </w:rPr>
        <w:t>to amend Section 38</w:t>
      </w:r>
      <w:r w:rsidRPr="00DF08F8">
        <w:rPr>
          <w:color w:val="000000" w:themeColor="text1"/>
          <w:u w:color="000000" w:themeColor="text1"/>
        </w:rPr>
        <w:noBreakHyphen/>
        <w:t>73</w:t>
      </w:r>
      <w:r w:rsidRPr="00DF08F8">
        <w:rPr>
          <w:color w:val="000000" w:themeColor="text1"/>
          <w:u w:color="000000" w:themeColor="text1"/>
        </w:rPr>
        <w:noBreakHyphen/>
        <w:t>920, Code of Laws of South Carolina, 1976, relating to required rate filings for insurers, so as to provide that automobile insurance</w:t>
      </w:r>
      <w:r>
        <w:t>, etc., respectfully</w:t>
      </w:r>
    </w:p>
    <w:p w:rsidR="004F5F54" w:rsidRPr="00DF08F8" w:rsidRDefault="004F5F54" w:rsidP="00DF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4F5F54" w:rsidRPr="00DF08F8" w:rsidRDefault="004F5F54" w:rsidP="00DF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5F54" w:rsidSect="00D658CE">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Default="004F5F54"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Default="004F5F5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Pr="00325348" w:rsidRDefault="004F5F54" w:rsidP="002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F5F54" w:rsidRDefault="004F5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Pr="00BA1CAE" w:rsidRDefault="004F5F54"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1CAE">
        <w:rPr>
          <w:color w:val="000000" w:themeColor="text1"/>
          <w:u w:color="000000" w:themeColor="text1"/>
        </w:rPr>
        <w:t>TO AMEND SECTION 38</w:t>
      </w:r>
      <w:r w:rsidRPr="00BA1CAE">
        <w:rPr>
          <w:color w:val="000000" w:themeColor="text1"/>
          <w:u w:color="000000" w:themeColor="text1"/>
        </w:rPr>
        <w:noBreakHyphen/>
        <w:t>73</w:t>
      </w:r>
      <w:r w:rsidRPr="00BA1CAE">
        <w:rPr>
          <w:color w:val="000000" w:themeColor="text1"/>
          <w:u w:color="000000" w:themeColor="text1"/>
        </w:rPr>
        <w:noBreakHyphen/>
        <w:t xml:space="preserve">920, CODE OF LAWS OF SOUTH CAROLINA, 1976, RELATING TO REQUIRED RATE FILINGS FOR INSURERS, SO AS TO PROVIDE THAT AUTOMOBILE INSURANCE RATE INCREASES MAY NOT BE APPROVED FOR AN INSURER OR RATING ORGANIZATION WHO HAS BEEN GRANTED A RATE INCREASE IN </w:t>
      </w:r>
      <w:r>
        <w:rPr>
          <w:color w:val="000000" w:themeColor="text1"/>
          <w:u w:color="000000" w:themeColor="text1"/>
        </w:rPr>
        <w:t xml:space="preserve">THE </w:t>
      </w:r>
      <w:r w:rsidRPr="00BA1CAE">
        <w:rPr>
          <w:color w:val="000000" w:themeColor="text1"/>
          <w:u w:color="000000" w:themeColor="text1"/>
        </w:rPr>
        <w:t>PRECE</w:t>
      </w:r>
      <w:r>
        <w:rPr>
          <w:color w:val="000000" w:themeColor="text1"/>
          <w:u w:color="000000" w:themeColor="text1"/>
        </w:rPr>
        <w:t>DING SIX MONTHS.</w:t>
      </w:r>
    </w:p>
    <w:p w:rsidR="004F5F54" w:rsidRDefault="004F5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5F54" w:rsidRDefault="004F5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5F54" w:rsidRDefault="004F5F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3DC1">
        <w:rPr>
          <w:color w:val="000000" w:themeColor="text1"/>
          <w:u w:color="000000" w:themeColor="text1"/>
        </w:rPr>
        <w:t>1.</w:t>
      </w:r>
      <w:r>
        <w:rPr>
          <w:color w:val="000000" w:themeColor="text1"/>
          <w:u w:color="000000" w:themeColor="text1"/>
        </w:rPr>
        <w:tab/>
      </w:r>
      <w:r w:rsidRPr="00C03DC1">
        <w:rPr>
          <w:color w:val="000000" w:themeColor="text1"/>
          <w:u w:color="000000" w:themeColor="text1"/>
        </w:rPr>
        <w:t>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220(A) of the 1976 Code is amended to read: </w:t>
      </w: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C03DC1">
        <w:rPr>
          <w:color w:val="000000" w:themeColor="text1"/>
          <w:u w:color="000000" w:themeColor="text1"/>
        </w:rPr>
        <w:t>Except as provided in subsection (B), overall average rate</w:t>
      </w:r>
      <w:r>
        <w:rPr>
          <w:color w:val="000000" w:themeColor="text1"/>
          <w:u w:color="000000" w:themeColor="text1"/>
        </w:rPr>
        <w:noBreakHyphen/>
      </w:r>
      <w:r w:rsidRPr="00C03DC1">
        <w:rPr>
          <w:color w:val="000000" w:themeColor="text1"/>
          <w:u w:color="000000" w:themeColor="text1"/>
        </w:rPr>
        <w:t>level increases or decreases, for all coverages combined, of seven percent above or below the insurer</w:t>
      </w:r>
      <w:r w:rsidRPr="008C5A03">
        <w:rPr>
          <w:color w:val="000000" w:themeColor="text1"/>
          <w:u w:color="000000" w:themeColor="text1"/>
        </w:rPr>
        <w:t>’</w:t>
      </w:r>
      <w:r w:rsidRPr="00C03DC1">
        <w:rPr>
          <w:color w:val="000000" w:themeColor="text1"/>
          <w:u w:color="000000" w:themeColor="text1"/>
        </w:rPr>
        <w:t xml:space="preserve">s rates then in effect may take effect without prior approval on a file and use basis with respect to rates for </w:t>
      </w:r>
      <w:r w:rsidRPr="00C03DC1">
        <w:rPr>
          <w:color w:val="000000" w:themeColor="text1"/>
          <w:u w:val="single" w:color="000000" w:themeColor="text1"/>
        </w:rPr>
        <w:t>private passenger automobile,</w:t>
      </w:r>
      <w:r w:rsidRPr="00C03DC1">
        <w:rPr>
          <w:color w:val="000000" w:themeColor="text1"/>
          <w:u w:color="000000" w:themeColor="text1"/>
        </w:rPr>
        <w:t xml:space="preserve"> fire, allied lines, and homeowner</w:t>
      </w:r>
      <w:r w:rsidRPr="008C5A03">
        <w:rPr>
          <w:color w:val="000000" w:themeColor="text1"/>
          <w:u w:color="000000" w:themeColor="text1"/>
        </w:rPr>
        <w:t>’</w:t>
      </w:r>
      <w:r w:rsidRPr="00C03DC1">
        <w:rPr>
          <w:color w:val="000000" w:themeColor="text1"/>
          <w:u w:color="000000" w:themeColor="text1"/>
        </w:rPr>
        <w:t>s insurance policies. The seven percent cap does not apply on an individual insured basis.”</w:t>
      </w: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03DC1">
        <w:rPr>
          <w:color w:val="000000" w:themeColor="text1"/>
          <w:u w:color="000000" w:themeColor="text1"/>
        </w:rPr>
        <w:t>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260(A) and (F) is amended to read: </w:t>
      </w: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“(A)</w:t>
      </w:r>
      <w:r>
        <w:rPr>
          <w:color w:val="000000" w:themeColor="text1"/>
          <w:u w:color="000000" w:themeColor="text1"/>
        </w:rPr>
        <w:tab/>
      </w:r>
      <w:r w:rsidRPr="00C03DC1">
        <w:rPr>
          <w:color w:val="000000" w:themeColor="text1"/>
          <w:u w:color="000000" w:themeColor="text1"/>
        </w:rPr>
        <w:t>Except as provided in subsection (B), overall average rate</w:t>
      </w:r>
      <w:r>
        <w:rPr>
          <w:color w:val="000000" w:themeColor="text1"/>
          <w:u w:color="000000" w:themeColor="text1"/>
        </w:rPr>
        <w:noBreakHyphen/>
      </w:r>
      <w:r w:rsidRPr="00C03DC1">
        <w:rPr>
          <w:color w:val="000000" w:themeColor="text1"/>
          <w:u w:color="000000" w:themeColor="text1"/>
        </w:rPr>
        <w:t>level increases or decreases, for all coverages combined, of seven percent above or below the insurer</w:t>
      </w:r>
      <w:r w:rsidRPr="008C5A03">
        <w:rPr>
          <w:color w:val="000000" w:themeColor="text1"/>
          <w:u w:color="000000" w:themeColor="text1"/>
        </w:rPr>
        <w:t>’</w:t>
      </w:r>
      <w:r w:rsidRPr="00C03DC1">
        <w:rPr>
          <w:color w:val="000000" w:themeColor="text1"/>
          <w:u w:color="000000" w:themeColor="text1"/>
        </w:rPr>
        <w:t>s rates then in effect may take effect without prior approval on a file and use basis with respect to rates for</w:t>
      </w:r>
      <w:r>
        <w:rPr>
          <w:color w:val="000000" w:themeColor="text1"/>
          <w:u w:color="000000" w:themeColor="text1"/>
        </w:rPr>
        <w:t xml:space="preserve"> </w:t>
      </w:r>
      <w:r>
        <w:rPr>
          <w:color w:val="000000" w:themeColor="text1"/>
          <w:u w:val="single" w:color="000000" w:themeColor="text1"/>
        </w:rPr>
        <w:t>private passenger automobile,</w:t>
      </w:r>
      <w:r w:rsidRPr="00C03DC1">
        <w:rPr>
          <w:color w:val="000000" w:themeColor="text1"/>
          <w:u w:color="000000" w:themeColor="text1"/>
        </w:rPr>
        <w:t xml:space="preserve"> fire, allied lines, and homeowner</w:t>
      </w:r>
      <w:r w:rsidRPr="008C5A03">
        <w:rPr>
          <w:color w:val="000000" w:themeColor="text1"/>
          <w:u w:color="000000" w:themeColor="text1"/>
        </w:rPr>
        <w:t>’</w:t>
      </w:r>
      <w:r w:rsidRPr="00C03DC1">
        <w:rPr>
          <w:color w:val="000000" w:themeColor="text1"/>
          <w:u w:color="000000" w:themeColor="text1"/>
        </w:rPr>
        <w:t>s insurance policies. The seven percent cap does not apply on an individual insured basis.</w:t>
      </w: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(F)(1)</w:t>
      </w:r>
      <w:r>
        <w:rPr>
          <w:color w:val="000000" w:themeColor="text1"/>
          <w:u w:color="000000" w:themeColor="text1"/>
        </w:rPr>
        <w:tab/>
      </w:r>
      <w:r w:rsidRPr="00C03DC1">
        <w:rPr>
          <w:color w:val="000000" w:themeColor="text1"/>
          <w:u w:color="000000" w:themeColor="text1"/>
        </w:rPr>
        <w:t>Nothing in this section prevents the director or his designee from considering the impact on individual territories or individual insureds when determining whether the rate is excessive, inadequate, or unfairly discriminatory. Rate level increases or decreases falling within the limitation specified in this subsection must comply with the requirements of this chapter prohibiting rate increases from being excessive, inadequate, or unfairly discriminatory.</w:t>
      </w: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r>
      <w:r w:rsidRPr="00C03DC1">
        <w:rPr>
          <w:color w:val="000000" w:themeColor="text1"/>
          <w:u w:color="000000" w:themeColor="text1"/>
        </w:rPr>
        <w:tab/>
        <w:t>(2)</w:t>
      </w:r>
      <w:r>
        <w:rPr>
          <w:color w:val="000000" w:themeColor="text1"/>
          <w:u w:color="000000" w:themeColor="text1"/>
        </w:rPr>
        <w:tab/>
      </w:r>
      <w:r w:rsidRPr="00C03DC1">
        <w:rPr>
          <w:color w:val="000000" w:themeColor="text1"/>
          <w:u w:color="000000" w:themeColor="text1"/>
        </w:rPr>
        <w:t>With respect to fire, allied lines, and homeowner</w:t>
      </w:r>
      <w:r w:rsidRPr="008C5A03">
        <w:rPr>
          <w:color w:val="000000" w:themeColor="text1"/>
          <w:u w:color="000000" w:themeColor="text1"/>
        </w:rPr>
        <w:t>’</w:t>
      </w:r>
      <w:r w:rsidRPr="00C03DC1">
        <w:rPr>
          <w:color w:val="000000" w:themeColor="text1"/>
          <w:u w:color="000000" w:themeColor="text1"/>
        </w:rPr>
        <w:t>s rates, the director or his designee shall specifically review all rate filings made on or after June 1, 2007, to ensure that each insurer</w:t>
      </w:r>
      <w:r w:rsidRPr="008C5A03">
        <w:rPr>
          <w:color w:val="000000" w:themeColor="text1"/>
          <w:u w:color="000000" w:themeColor="text1"/>
        </w:rPr>
        <w:t>’</w:t>
      </w:r>
      <w:r w:rsidRPr="00C03DC1">
        <w:rPr>
          <w:color w:val="000000" w:themeColor="text1"/>
          <w:u w:color="000000" w:themeColor="text1"/>
        </w:rPr>
        <w:t>s rates for policies that exclude wind coverage reflect a discount commensurate with that insurer</w:t>
      </w:r>
      <w:r w:rsidRPr="008C5A03">
        <w:rPr>
          <w:color w:val="000000" w:themeColor="text1"/>
          <w:u w:color="000000" w:themeColor="text1"/>
        </w:rPr>
        <w:t>’</w:t>
      </w:r>
      <w:r w:rsidRPr="00C03DC1">
        <w:rPr>
          <w:color w:val="000000" w:themeColor="text1"/>
          <w:u w:color="000000" w:themeColor="text1"/>
        </w:rPr>
        <w:t>s previously filed surcharge for policies that include wind coverage.</w:t>
      </w: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r>
      <w:r w:rsidRPr="00C03DC1">
        <w:rPr>
          <w:color w:val="000000" w:themeColor="text1"/>
          <w:u w:color="000000" w:themeColor="text1"/>
        </w:rPr>
        <w:tab/>
      </w:r>
      <w:r w:rsidRPr="00C03DC1">
        <w:rPr>
          <w:strike/>
          <w:color w:val="000000" w:themeColor="text1"/>
          <w:u w:color="000000" w:themeColor="text1"/>
        </w:rPr>
        <w:t>(3)</w:t>
      </w:r>
      <w:r>
        <w:rPr>
          <w:color w:val="000000" w:themeColor="text1"/>
          <w:u w:color="000000" w:themeColor="text1"/>
        </w:rPr>
        <w:tab/>
      </w:r>
      <w:r w:rsidRPr="00C03DC1">
        <w:rPr>
          <w:strike/>
          <w:color w:val="000000" w:themeColor="text1"/>
          <w:u w:color="000000" w:themeColor="text1"/>
        </w:rPr>
        <w:t>his subsection does not apply to private passenger automobile insurance nor to insurance against liability arising out of the ownership, maintenance, or the use of:</w:t>
      </w: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r>
      <w:r w:rsidRPr="00C03DC1">
        <w:rPr>
          <w:color w:val="000000" w:themeColor="text1"/>
          <w:u w:color="000000" w:themeColor="text1"/>
        </w:rPr>
        <w:tab/>
      </w:r>
      <w:r w:rsidRPr="00C03DC1">
        <w:rPr>
          <w:color w:val="000000" w:themeColor="text1"/>
          <w:u w:color="000000" w:themeColor="text1"/>
        </w:rPr>
        <w:tab/>
      </w:r>
      <w:r w:rsidRPr="00C03DC1">
        <w:rPr>
          <w:strike/>
          <w:color w:val="000000" w:themeColor="text1"/>
          <w:u w:color="000000" w:themeColor="text1"/>
        </w:rPr>
        <w:t>(a)</w:t>
      </w:r>
      <w:r w:rsidRPr="008C5A03">
        <w:rPr>
          <w:color w:val="000000" w:themeColor="text1"/>
          <w:u w:color="000000" w:themeColor="text1"/>
        </w:rPr>
        <w:tab/>
      </w:r>
      <w:r w:rsidRPr="00C03DC1">
        <w:rPr>
          <w:strike/>
          <w:color w:val="000000" w:themeColor="text1"/>
          <w:u w:color="000000" w:themeColor="text1"/>
        </w:rPr>
        <w:t>an individual private passenger automobile as defined in Section 38</w:t>
      </w:r>
      <w:r>
        <w:rPr>
          <w:strike/>
          <w:color w:val="000000" w:themeColor="text1"/>
          <w:u w:color="000000" w:themeColor="text1"/>
        </w:rPr>
        <w:noBreakHyphen/>
      </w:r>
      <w:r w:rsidRPr="00C03DC1">
        <w:rPr>
          <w:strike/>
          <w:color w:val="000000" w:themeColor="text1"/>
          <w:u w:color="000000" w:themeColor="text1"/>
        </w:rPr>
        <w:t>77</w:t>
      </w:r>
      <w:r>
        <w:rPr>
          <w:strike/>
          <w:color w:val="000000" w:themeColor="text1"/>
          <w:u w:color="000000" w:themeColor="text1"/>
        </w:rPr>
        <w:noBreakHyphen/>
      </w:r>
      <w:r w:rsidRPr="00C03DC1">
        <w:rPr>
          <w:strike/>
          <w:color w:val="000000" w:themeColor="text1"/>
          <w:u w:color="000000" w:themeColor="text1"/>
        </w:rPr>
        <w:t>30(5.5)(a); or</w:t>
      </w: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r>
      <w:r w:rsidRPr="00C03DC1">
        <w:rPr>
          <w:color w:val="000000" w:themeColor="text1"/>
          <w:u w:color="000000" w:themeColor="text1"/>
        </w:rPr>
        <w:tab/>
      </w:r>
      <w:r w:rsidRPr="00C03DC1">
        <w:rPr>
          <w:color w:val="000000" w:themeColor="text1"/>
          <w:u w:color="000000" w:themeColor="text1"/>
        </w:rPr>
        <w:tab/>
      </w:r>
      <w:r w:rsidRPr="00C03DC1">
        <w:rPr>
          <w:strike/>
          <w:color w:val="000000" w:themeColor="text1"/>
          <w:u w:color="000000" w:themeColor="text1"/>
        </w:rPr>
        <w:t>(b)</w:t>
      </w:r>
      <w:r>
        <w:rPr>
          <w:color w:val="000000" w:themeColor="text1"/>
          <w:u w:color="000000" w:themeColor="text1"/>
        </w:rPr>
        <w:tab/>
      </w:r>
      <w:r w:rsidRPr="00C03DC1">
        <w:rPr>
          <w:strike/>
          <w:color w:val="000000" w:themeColor="text1"/>
          <w:u w:color="000000" w:themeColor="text1"/>
        </w:rPr>
        <w:t>property having wheels.</w:t>
      </w: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SEC</w:t>
      </w:r>
      <w:r>
        <w:rPr>
          <w:color w:val="000000" w:themeColor="text1"/>
          <w:u w:color="000000" w:themeColor="text1"/>
        </w:rPr>
        <w:t>TION</w:t>
      </w:r>
      <w:r>
        <w:rPr>
          <w:color w:val="000000" w:themeColor="text1"/>
          <w:u w:color="000000" w:themeColor="text1"/>
        </w:rPr>
        <w:tab/>
      </w:r>
      <w:r w:rsidRPr="00C03DC1">
        <w:rPr>
          <w:color w:val="000000" w:themeColor="text1"/>
          <w:u w:color="000000" w:themeColor="text1"/>
        </w:rPr>
        <w:t>3.</w:t>
      </w:r>
      <w:r>
        <w:rPr>
          <w:color w:val="000000" w:themeColor="text1"/>
          <w:u w:color="000000" w:themeColor="text1"/>
        </w:rPr>
        <w:tab/>
      </w:r>
      <w:r w:rsidRPr="00C03DC1">
        <w:rPr>
          <w:color w:val="000000" w:themeColor="text1"/>
          <w:u w:color="000000" w:themeColor="text1"/>
        </w:rPr>
        <w:t>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920 of the 1976 Code is amended to read: </w:t>
      </w: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920.</w:t>
      </w:r>
      <w:r>
        <w:rPr>
          <w:color w:val="000000" w:themeColor="text1"/>
          <w:u w:color="000000" w:themeColor="text1"/>
        </w:rPr>
        <w:tab/>
      </w:r>
      <w:r w:rsidRPr="00C03DC1">
        <w:rPr>
          <w:color w:val="000000" w:themeColor="text1"/>
          <w:u w:color="000000" w:themeColor="text1"/>
        </w:rPr>
        <w:t>An insurer may not make or issue a contract or policy except in accordance with the filings which are in effect for the insurer as provided in this chapter or in accordance with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1060. Notwithstanding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10, </w:t>
      </w:r>
      <w:r w:rsidRPr="00C03DC1">
        <w:rPr>
          <w:color w:val="000000" w:themeColor="text1"/>
          <w:u w:val="single" w:color="000000" w:themeColor="text1"/>
        </w:rPr>
        <w:t>Section 38</w:t>
      </w:r>
      <w:r>
        <w:rPr>
          <w:color w:val="000000" w:themeColor="text1"/>
          <w:u w:val="single" w:color="000000" w:themeColor="text1"/>
        </w:rPr>
        <w:noBreakHyphen/>
      </w:r>
      <w:r w:rsidRPr="00C03DC1">
        <w:rPr>
          <w:color w:val="000000" w:themeColor="text1"/>
          <w:u w:val="single" w:color="000000" w:themeColor="text1"/>
        </w:rPr>
        <w:t>73</w:t>
      </w:r>
      <w:r>
        <w:rPr>
          <w:color w:val="000000" w:themeColor="text1"/>
          <w:u w:val="single" w:color="000000" w:themeColor="text1"/>
        </w:rPr>
        <w:noBreakHyphen/>
      </w:r>
      <w:r w:rsidRPr="00C03DC1">
        <w:rPr>
          <w:color w:val="000000" w:themeColor="text1"/>
          <w:u w:val="single" w:color="000000" w:themeColor="text1"/>
        </w:rPr>
        <w:t>220, Section 38</w:t>
      </w:r>
      <w:r>
        <w:rPr>
          <w:color w:val="000000" w:themeColor="text1"/>
          <w:u w:val="single" w:color="000000" w:themeColor="text1"/>
        </w:rPr>
        <w:noBreakHyphen/>
      </w:r>
      <w:r w:rsidRPr="00C03DC1">
        <w:rPr>
          <w:color w:val="000000" w:themeColor="text1"/>
          <w:u w:val="single" w:color="000000" w:themeColor="text1"/>
        </w:rPr>
        <w:t>73</w:t>
      </w:r>
      <w:r>
        <w:rPr>
          <w:color w:val="000000" w:themeColor="text1"/>
          <w:u w:val="single" w:color="000000" w:themeColor="text1"/>
        </w:rPr>
        <w:noBreakHyphen/>
      </w:r>
      <w:r w:rsidRPr="00C03DC1">
        <w:rPr>
          <w:color w:val="000000" w:themeColor="text1"/>
          <w:u w:val="single" w:color="000000" w:themeColor="text1"/>
        </w:rPr>
        <w:t>260,</w:t>
      </w:r>
      <w:r w:rsidRPr="00C03DC1">
        <w:rPr>
          <w:color w:val="000000" w:themeColor="text1"/>
          <w:u w:color="000000" w:themeColor="text1"/>
        </w:rPr>
        <w:t xml:space="preserve">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330(2), and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430(4), filings for </w:t>
      </w:r>
      <w:r w:rsidRPr="00C03DC1">
        <w:rPr>
          <w:color w:val="000000" w:themeColor="text1"/>
          <w:u w:val="single" w:color="000000" w:themeColor="text1"/>
        </w:rPr>
        <w:t>other</w:t>
      </w:r>
      <w:r w:rsidRPr="00C03DC1">
        <w:rPr>
          <w:color w:val="000000" w:themeColor="text1"/>
          <w:u w:color="000000" w:themeColor="text1"/>
        </w:rPr>
        <w:t xml:space="preserve"> property and casualty rate increases may not be approved for any insurer or rating organization for any line, subline, or otherwise identifiable property and casualty insurance coverage for which a rate increase has previously been granted within the immediately preceding twelve months. However, if satisfactory evidence is presented to the director or his designee by an insurer or rating organization that the continued use of the previously approved rates for the line, subline, or otherwise identifiable property and casualty insurance coverage may result in the insolvency of an insurer, more frequent rate increases may be approved. Rate changes proposed where the sole factor for the change is the impact of a revised assessment does not constitute a rate increase for purposes of this section. No rate increase based upon an assessment may become effective unless the assessment has been paid. This section does not apply to contracts or policies for inland marine risks as to which filings are not required.</w:t>
      </w: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However, a private insurer licensed to underwrite essential property insurance as defined by Section 38</w:t>
      </w:r>
      <w:r>
        <w:rPr>
          <w:color w:val="000000" w:themeColor="text1"/>
          <w:u w:color="000000" w:themeColor="text1"/>
        </w:rPr>
        <w:noBreakHyphen/>
      </w:r>
      <w:r w:rsidRPr="00C03DC1">
        <w:rPr>
          <w:color w:val="000000" w:themeColor="text1"/>
          <w:u w:color="000000" w:themeColor="text1"/>
        </w:rPr>
        <w:t>75</w:t>
      </w:r>
      <w:r>
        <w:rPr>
          <w:color w:val="000000" w:themeColor="text1"/>
          <w:u w:color="000000" w:themeColor="text1"/>
        </w:rPr>
        <w:noBreakHyphen/>
      </w:r>
      <w:r w:rsidRPr="00C03DC1">
        <w:rPr>
          <w:color w:val="000000" w:themeColor="text1"/>
          <w:u w:color="000000" w:themeColor="text1"/>
        </w:rPr>
        <w:t>310(1), notwithstanding any limitations included within this title, may file and use, pursuant to the provisions of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1095, any rates which result in insurance premium rates of ninety percent, or less, of the insurance premium rates then approved for the South Carolina Wind and Hail Underwriting Association which result in an insurance premium increase for any policyholder situated within a coastal area of South Carolina as defined by Section 38</w:t>
      </w:r>
      <w:r>
        <w:rPr>
          <w:color w:val="000000" w:themeColor="text1"/>
          <w:u w:color="000000" w:themeColor="text1"/>
        </w:rPr>
        <w:noBreakHyphen/>
      </w:r>
      <w:r w:rsidRPr="00C03DC1">
        <w:rPr>
          <w:color w:val="000000" w:themeColor="text1"/>
          <w:u w:color="000000" w:themeColor="text1"/>
        </w:rPr>
        <w:t>75</w:t>
      </w:r>
      <w:r>
        <w:rPr>
          <w:color w:val="000000" w:themeColor="text1"/>
          <w:u w:color="000000" w:themeColor="text1"/>
        </w:rPr>
        <w:noBreakHyphen/>
      </w:r>
      <w:r w:rsidRPr="00C03DC1">
        <w:rPr>
          <w:color w:val="000000" w:themeColor="text1"/>
          <w:u w:color="000000" w:themeColor="text1"/>
        </w:rPr>
        <w:t>310(5) not more than once in any six</w:t>
      </w:r>
      <w:r>
        <w:rPr>
          <w:color w:val="000000" w:themeColor="text1"/>
          <w:u w:color="000000" w:themeColor="text1"/>
        </w:rPr>
        <w:noBreakHyphen/>
      </w:r>
      <w:r w:rsidRPr="00C03DC1">
        <w:rPr>
          <w:color w:val="000000" w:themeColor="text1"/>
          <w:u w:color="000000" w:themeColor="text1"/>
        </w:rPr>
        <w:t>month period.”</w:t>
      </w:r>
    </w:p>
    <w:p w:rsidR="004F5F54" w:rsidRPr="00C03DC1"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5F54" w:rsidRDefault="004F5F54"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3DC1">
        <w:rPr>
          <w:color w:val="000000" w:themeColor="text1"/>
          <w:u w:color="000000" w:themeColor="text1"/>
        </w:rPr>
        <w:t>SECTION</w:t>
      </w:r>
      <w:r>
        <w:rPr>
          <w:color w:val="000000" w:themeColor="text1"/>
          <w:u w:color="000000" w:themeColor="text1"/>
        </w:rPr>
        <w:tab/>
      </w:r>
      <w:r w:rsidRPr="00C03DC1">
        <w:rPr>
          <w:color w:val="000000" w:themeColor="text1"/>
          <w:u w:color="000000" w:themeColor="text1"/>
        </w:rPr>
        <w:t>4.</w:t>
      </w:r>
      <w:r>
        <w:rPr>
          <w:color w:val="000000" w:themeColor="text1"/>
          <w:u w:color="000000" w:themeColor="text1"/>
        </w:rPr>
        <w:tab/>
      </w:r>
      <w:r w:rsidRPr="00C03DC1">
        <w:rPr>
          <w:color w:val="000000" w:themeColor="text1"/>
          <w:u w:color="000000" w:themeColor="text1"/>
        </w:rPr>
        <w:t>This act takes effect upon approval by the Governor.</w:t>
      </w:r>
    </w:p>
    <w:p w:rsidR="004F5F54" w:rsidRDefault="004F5F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65FE" w:rsidRDefault="004365FE" w:rsidP="004F5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365FE" w:rsidSect="00D658CE">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D30" w:rsidRDefault="005A5D30" w:rsidP="009F0C77">
      <w:r>
        <w:separator/>
      </w:r>
    </w:p>
  </w:endnote>
  <w:endnote w:type="continuationSeparator" w:id="0">
    <w:p w:rsidR="005A5D30" w:rsidRDefault="005A5D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81CD3C-1BD7-42BB-8109-FD4A9B4754EE}"/>
    <w:embedBold r:id="rId2" w:fontKey="{17171F3C-CF1C-48FD-B28C-EB64F5D9AAA6}"/>
  </w:font>
  <w:font w:name="Calibri">
    <w:panose1 w:val="020F0502020204030204"/>
    <w:charset w:val="00"/>
    <w:family w:val="swiss"/>
    <w:pitch w:val="variable"/>
    <w:sig w:usb0="E0002EFF" w:usb1="C000247B" w:usb2="00000009" w:usb3="00000000" w:csb0="000001FF" w:csb1="00000000"/>
    <w:embedRegular r:id="rId3" w:fontKey="{66B5A0D2-EEAE-48EE-90FB-0709F3CF36C6}"/>
  </w:font>
  <w:font w:name="Segoe UI">
    <w:panose1 w:val="020B0502040204020203"/>
    <w:charset w:val="00"/>
    <w:family w:val="swiss"/>
    <w:pitch w:val="variable"/>
    <w:sig w:usb0="E4002EFF" w:usb1="C000E47F" w:usb2="00000009" w:usb3="00000000" w:csb0="000001FF" w:csb1="00000000"/>
    <w:embedRegular r:id="rId4" w:fontKey="{2F8393CE-5527-4BFD-8B42-FC11744EA859}"/>
  </w:font>
  <w:font w:name="Cambria">
    <w:panose1 w:val="02040503050406030204"/>
    <w:charset w:val="00"/>
    <w:family w:val="roman"/>
    <w:pitch w:val="variable"/>
    <w:sig w:usb0="E00006FF" w:usb1="420024FF" w:usb2="02000000" w:usb3="00000000" w:csb0="0000019F" w:csb1="00000000"/>
    <w:embedRegular r:id="rId5" w:fontKey="{777904D2-2D53-48E6-BE21-64AD0ED0EF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F54" w:rsidRPr="00242F2A" w:rsidRDefault="004F5F54" w:rsidP="00242F2A">
    <w:pPr>
      <w:pStyle w:val="Footer"/>
      <w:tabs>
        <w:tab w:val="clear" w:pos="4680"/>
        <w:tab w:val="clear" w:pos="9360"/>
        <w:tab w:val="center" w:pos="2995"/>
      </w:tabs>
      <w:spacing w:before="120"/>
    </w:pPr>
    <w:r>
      <w:t>[579-</w:t>
    </w:r>
    <w:r>
      <w:fldChar w:fldCharType="begin"/>
    </w:r>
    <w:r>
      <w:instrText xml:space="preserve"> PAGE  \* MERGEFORMAT </w:instrText>
    </w:r>
    <w:r>
      <w:fldChar w:fldCharType="separate"/>
    </w:r>
    <w:r w:rsidR="00E2566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8CE" w:rsidRPr="00242F2A" w:rsidRDefault="004F5F54" w:rsidP="00242F2A">
    <w:pPr>
      <w:pStyle w:val="Footer"/>
      <w:tabs>
        <w:tab w:val="clear" w:pos="4680"/>
        <w:tab w:val="clear" w:pos="9360"/>
        <w:tab w:val="center" w:pos="2995"/>
      </w:tabs>
      <w:spacing w:before="120"/>
    </w:pPr>
    <w:r>
      <w:t>[579]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D30" w:rsidRDefault="005A5D30" w:rsidP="009F0C77">
      <w:r>
        <w:separator/>
      </w:r>
    </w:p>
  </w:footnote>
  <w:footnote w:type="continuationSeparator" w:id="0">
    <w:p w:rsidR="005A5D30" w:rsidRDefault="005A5D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77CZ19"/>
    <w:docVar w:name="CoverBillType" w:val="b"/>
    <w:docVar w:name="DocPath" w:val="L:\Council\bills\BH\7177CZ19.DOCX"/>
    <w:docVar w:name="dvBillNumber" w:val="579"/>
    <w:docVar w:name="dvBillNumberPrefix" w:val="S. "/>
    <w:docVar w:name="dvOriginalBody" w:val="Senate"/>
    <w:docVar w:name="dvSteno" w:val="BH"/>
    <w:docVar w:name="NameofBody" w:val="s"/>
    <w:docVar w:name="vGroup2" w:val="Council"/>
  </w:docVars>
  <w:rsids>
    <w:rsidRoot w:val="005A5D30"/>
    <w:rsid w:val="000263D9"/>
    <w:rsid w:val="00026C9A"/>
    <w:rsid w:val="000965A1"/>
    <w:rsid w:val="000C487D"/>
    <w:rsid w:val="000E1785"/>
    <w:rsid w:val="000F39F2"/>
    <w:rsid w:val="001023A4"/>
    <w:rsid w:val="0010776B"/>
    <w:rsid w:val="00133E66"/>
    <w:rsid w:val="00134ACF"/>
    <w:rsid w:val="00144E15"/>
    <w:rsid w:val="00192C2E"/>
    <w:rsid w:val="001A4A62"/>
    <w:rsid w:val="001A681E"/>
    <w:rsid w:val="001D066E"/>
    <w:rsid w:val="001D08F2"/>
    <w:rsid w:val="002037CA"/>
    <w:rsid w:val="002047A2"/>
    <w:rsid w:val="002321B6"/>
    <w:rsid w:val="0023696B"/>
    <w:rsid w:val="00242F2A"/>
    <w:rsid w:val="002472F9"/>
    <w:rsid w:val="00250967"/>
    <w:rsid w:val="002759C5"/>
    <w:rsid w:val="00276598"/>
    <w:rsid w:val="00277DEE"/>
    <w:rsid w:val="00280D88"/>
    <w:rsid w:val="00294ABE"/>
    <w:rsid w:val="002A3EB4"/>
    <w:rsid w:val="002A6EC9"/>
    <w:rsid w:val="003204DF"/>
    <w:rsid w:val="00325348"/>
    <w:rsid w:val="00357C75"/>
    <w:rsid w:val="00393688"/>
    <w:rsid w:val="003D411E"/>
    <w:rsid w:val="003E3C1E"/>
    <w:rsid w:val="003E6148"/>
    <w:rsid w:val="003E7D04"/>
    <w:rsid w:val="00400EAA"/>
    <w:rsid w:val="004173F3"/>
    <w:rsid w:val="0041760A"/>
    <w:rsid w:val="004203D7"/>
    <w:rsid w:val="004365FE"/>
    <w:rsid w:val="0045065F"/>
    <w:rsid w:val="004809EE"/>
    <w:rsid w:val="004B2A8B"/>
    <w:rsid w:val="004F5F54"/>
    <w:rsid w:val="00511EE9"/>
    <w:rsid w:val="00521E00"/>
    <w:rsid w:val="0052710E"/>
    <w:rsid w:val="00552F6A"/>
    <w:rsid w:val="005630B0"/>
    <w:rsid w:val="00577C6C"/>
    <w:rsid w:val="0058501B"/>
    <w:rsid w:val="005A5D30"/>
    <w:rsid w:val="005C5AC4"/>
    <w:rsid w:val="0061228A"/>
    <w:rsid w:val="006215AA"/>
    <w:rsid w:val="006340D9"/>
    <w:rsid w:val="00643B8E"/>
    <w:rsid w:val="00653ECC"/>
    <w:rsid w:val="00665EBC"/>
    <w:rsid w:val="00680479"/>
    <w:rsid w:val="00685E47"/>
    <w:rsid w:val="0069470D"/>
    <w:rsid w:val="006A476C"/>
    <w:rsid w:val="006C6A93"/>
    <w:rsid w:val="006E02F9"/>
    <w:rsid w:val="006F3F76"/>
    <w:rsid w:val="00753C04"/>
    <w:rsid w:val="00756946"/>
    <w:rsid w:val="00757F80"/>
    <w:rsid w:val="00771EEC"/>
    <w:rsid w:val="00786819"/>
    <w:rsid w:val="007A2DDA"/>
    <w:rsid w:val="007A325A"/>
    <w:rsid w:val="007C3099"/>
    <w:rsid w:val="007E72BE"/>
    <w:rsid w:val="007F1523"/>
    <w:rsid w:val="007F509E"/>
    <w:rsid w:val="007F5799"/>
    <w:rsid w:val="007F6947"/>
    <w:rsid w:val="00834A12"/>
    <w:rsid w:val="00841FE5"/>
    <w:rsid w:val="00847272"/>
    <w:rsid w:val="0085781F"/>
    <w:rsid w:val="00872729"/>
    <w:rsid w:val="008F4429"/>
    <w:rsid w:val="00932670"/>
    <w:rsid w:val="009352BB"/>
    <w:rsid w:val="00990668"/>
    <w:rsid w:val="00990FC4"/>
    <w:rsid w:val="009B397B"/>
    <w:rsid w:val="009F0C77"/>
    <w:rsid w:val="009F4DD1"/>
    <w:rsid w:val="00A64E80"/>
    <w:rsid w:val="00A741D9"/>
    <w:rsid w:val="00A85589"/>
    <w:rsid w:val="00A9741D"/>
    <w:rsid w:val="00AB0576"/>
    <w:rsid w:val="00AD4B17"/>
    <w:rsid w:val="00B26FA6"/>
    <w:rsid w:val="00B42BBA"/>
    <w:rsid w:val="00B741CB"/>
    <w:rsid w:val="00B87AF8"/>
    <w:rsid w:val="00B934F3"/>
    <w:rsid w:val="00BB6347"/>
    <w:rsid w:val="00BD2134"/>
    <w:rsid w:val="00BE0BF7"/>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06F3"/>
    <w:rsid w:val="00DB3AC0"/>
    <w:rsid w:val="00DC6813"/>
    <w:rsid w:val="00DE68F0"/>
    <w:rsid w:val="00DF3845"/>
    <w:rsid w:val="00DF7E17"/>
    <w:rsid w:val="00E2566C"/>
    <w:rsid w:val="00EB00A2"/>
    <w:rsid w:val="00EB1BF3"/>
    <w:rsid w:val="00EC5DD0"/>
    <w:rsid w:val="00EF3EEE"/>
    <w:rsid w:val="00F149A7"/>
    <w:rsid w:val="00F50BAF"/>
    <w:rsid w:val="00F52C10"/>
    <w:rsid w:val="00F7096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1A7DE-716F-4489-BCC4-0ADD2FC18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06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6F3"/>
    <w:rPr>
      <w:rFonts w:ascii="Segoe UI" w:eastAsia="Times New Roman" w:hAnsi="Segoe UI" w:cs="Segoe UI"/>
      <w:sz w:val="18"/>
      <w:szCs w:val="18"/>
    </w:rPr>
  </w:style>
  <w:style w:type="character" w:styleId="Hyperlink">
    <w:name w:val="Hyperlink"/>
    <w:basedOn w:val="DefaultParagraphFont"/>
    <w:uiPriority w:val="99"/>
    <w:unhideWhenUsed/>
    <w:rsid w:val="004365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7.docx" TargetMode="External"/><Relationship Id="rId13" Type="http://schemas.openxmlformats.org/officeDocument/2006/relationships/hyperlink" Target="file:///h:\sj\20190326.docx" TargetMode="External"/><Relationship Id="rId18" Type="http://schemas.openxmlformats.org/officeDocument/2006/relationships/hyperlink" Target="http://www.scstatehouse.gov/billsearch.php?billnumbers=579&amp;session=123&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9-20\579_20190321.docx" TargetMode="External"/><Relationship Id="rId7" Type="http://schemas.openxmlformats.org/officeDocument/2006/relationships/hyperlink" Target="file:///h:\sj\20190227.docx" TargetMode="External"/><Relationship Id="rId12" Type="http://schemas.openxmlformats.org/officeDocument/2006/relationships/hyperlink" Target="file:///h:\sj\20190321.docx" TargetMode="External"/><Relationship Id="rId17" Type="http://schemas.openxmlformats.org/officeDocument/2006/relationships/hyperlink" Target="file:///h:\hj\20200922.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200915.docx" TargetMode="External"/><Relationship Id="rId20" Type="http://schemas.openxmlformats.org/officeDocument/2006/relationships/hyperlink" Target="file:///p:\pprever\2019-20\579_2019031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321.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90327.docx" TargetMode="External"/><Relationship Id="rId23" Type="http://schemas.openxmlformats.org/officeDocument/2006/relationships/footer" Target="footer1.xml"/><Relationship Id="rId10" Type="http://schemas.openxmlformats.org/officeDocument/2006/relationships/hyperlink" Target="file:///h:\sj\20190321.docx" TargetMode="External"/><Relationship Id="rId19" Type="http://schemas.openxmlformats.org/officeDocument/2006/relationships/hyperlink" Target="file:///p:\pprever\2019-20\579_20190227.docx" TargetMode="External"/><Relationship Id="rId4" Type="http://schemas.openxmlformats.org/officeDocument/2006/relationships/webSettings" Target="webSettings.xml"/><Relationship Id="rId9" Type="http://schemas.openxmlformats.org/officeDocument/2006/relationships/hyperlink" Target="file:///h:\sj\20190319.docx" TargetMode="External"/><Relationship Id="rId14" Type="http://schemas.openxmlformats.org/officeDocument/2006/relationships/hyperlink" Target="file:///h:\hj\20190327.docx" TargetMode="External"/><Relationship Id="rId22" Type="http://schemas.openxmlformats.org/officeDocument/2006/relationships/hyperlink" Target="file:///p:\pprever\2019-20\579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6EA3E-F8BB-4FB5-AAFA-C1650CA40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1149</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579: Rate filings for insurers - South Carolina Legislature Online</dc:title>
  <dc:subject/>
  <dc:creator>Bonnie Huth</dc:creator>
  <cp:keywords/>
  <dc:description/>
  <cp:lastModifiedBy>S Wilson</cp:lastModifiedBy>
  <cp:revision>2</cp:revision>
  <cp:lastPrinted>2019-02-19T20:53:00Z</cp:lastPrinted>
  <dcterms:created xsi:type="dcterms:W3CDTF">2020-09-23T13:41:00Z</dcterms:created>
  <dcterms:modified xsi:type="dcterms:W3CDTF">2020-09-23T13:41:00Z</dcterms:modified>
</cp:coreProperties>
</file>