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E96" w:rsidRDefault="00A41E96" w:rsidP="00A41E96">
      <w:pPr>
        <w:widowControl w:val="0"/>
        <w:jc w:val="center"/>
      </w:pPr>
      <w:r w:rsidRPr="00A41E96">
        <w:rPr>
          <w:b/>
        </w:rPr>
        <w:t>South Carolina General Assembly</w:t>
      </w:r>
    </w:p>
    <w:p w:rsidR="00A41E96" w:rsidRDefault="00A41E96" w:rsidP="00A41E96">
      <w:pPr>
        <w:widowControl w:val="0"/>
        <w:jc w:val="center"/>
      </w:pPr>
      <w:r>
        <w:t>124th Session, 2021-2022</w:t>
      </w:r>
    </w:p>
    <w:p w:rsidR="00A41E96" w:rsidRDefault="00A41E96" w:rsidP="00A41E96">
      <w:pPr>
        <w:widowControl w:val="0"/>
        <w:jc w:val="left"/>
      </w:pPr>
    </w:p>
    <w:p w:rsidR="00A41E96" w:rsidRDefault="00A41E96" w:rsidP="00A41E96">
      <w:pPr>
        <w:widowControl w:val="0"/>
        <w:jc w:val="left"/>
        <w:rPr>
          <w:b/>
        </w:rPr>
      </w:pPr>
      <w:r w:rsidRPr="00A41E96">
        <w:rPr>
          <w:b/>
        </w:rPr>
        <w:t>H. 3044</w:t>
      </w:r>
    </w:p>
    <w:p w:rsidR="00A41E96" w:rsidRDefault="00A41E96" w:rsidP="00A41E96">
      <w:pPr>
        <w:widowControl w:val="0"/>
        <w:jc w:val="left"/>
        <w:rPr>
          <w:b/>
        </w:rPr>
      </w:pPr>
    </w:p>
    <w:p w:rsidR="00A41E96" w:rsidRDefault="00A41E96" w:rsidP="00A41E96">
      <w:pPr>
        <w:widowControl w:val="0"/>
        <w:jc w:val="left"/>
      </w:pPr>
      <w:r w:rsidRPr="00A41E96">
        <w:rPr>
          <w:b/>
        </w:rPr>
        <w:t>STATUS INFORMATION</w:t>
      </w:r>
    </w:p>
    <w:p w:rsidR="00A41E96" w:rsidRDefault="00A41E96" w:rsidP="00A41E96">
      <w:pPr>
        <w:widowControl w:val="0"/>
        <w:jc w:val="left"/>
      </w:pPr>
    </w:p>
    <w:p w:rsidR="00A41E96" w:rsidRDefault="00A41E96" w:rsidP="00A41E96">
      <w:pPr>
        <w:widowControl w:val="0"/>
        <w:jc w:val="left"/>
      </w:pPr>
      <w:r>
        <w:t>General Bill</w:t>
      </w:r>
    </w:p>
    <w:p w:rsidR="00A41E96" w:rsidRDefault="00A41E96" w:rsidP="00A41E96">
      <w:pPr>
        <w:widowControl w:val="0"/>
        <w:jc w:val="left"/>
      </w:pPr>
      <w:r>
        <w:t>Sponsors: Rep. King</w:t>
      </w:r>
    </w:p>
    <w:p w:rsidR="00A41E96" w:rsidRDefault="00A41E96" w:rsidP="00A41E96">
      <w:pPr>
        <w:widowControl w:val="0"/>
        <w:jc w:val="left"/>
      </w:pPr>
      <w:r>
        <w:t>Document Path: l:\council\bills\gt\5866cm21.docx</w:t>
      </w:r>
    </w:p>
    <w:p w:rsidR="00A41E96" w:rsidRDefault="00A41E96" w:rsidP="00A41E96">
      <w:pPr>
        <w:widowControl w:val="0"/>
        <w:jc w:val="left"/>
      </w:pPr>
    </w:p>
    <w:p w:rsidR="00AA7433" w:rsidRDefault="00AA7433" w:rsidP="00A41E96">
      <w:pPr>
        <w:widowControl w:val="0"/>
        <w:jc w:val="left"/>
      </w:pPr>
      <w:r>
        <w:t>Introduced in the House on January 12, 2021</w:t>
      </w:r>
    </w:p>
    <w:p w:rsidR="00AA7433" w:rsidRPr="00AA7433" w:rsidRDefault="00AA7433" w:rsidP="00A41E96">
      <w:pPr>
        <w:widowControl w:val="0"/>
        <w:jc w:val="left"/>
      </w:pPr>
      <w:r>
        <w:t xml:space="preserve">Currently residing in the House Committee on </w:t>
      </w:r>
      <w:r w:rsidRPr="00AA7433">
        <w:rPr>
          <w:b/>
        </w:rPr>
        <w:t>Judiciary</w:t>
      </w:r>
    </w:p>
    <w:p w:rsidR="00AA7433" w:rsidRDefault="00AA7433" w:rsidP="00A41E96">
      <w:pPr>
        <w:widowControl w:val="0"/>
        <w:jc w:val="left"/>
      </w:pPr>
    </w:p>
    <w:p w:rsidR="00A41E96" w:rsidRDefault="002537DD" w:rsidP="00A41E96">
      <w:pPr>
        <w:widowControl w:val="0"/>
        <w:jc w:val="left"/>
      </w:pPr>
      <w:r>
        <w:t>Summary: Sex offenders</w:t>
      </w:r>
    </w:p>
    <w:p w:rsidR="00A41E96" w:rsidRDefault="00A41E96" w:rsidP="00A41E96">
      <w:pPr>
        <w:widowControl w:val="0"/>
        <w:jc w:val="left"/>
      </w:pPr>
    </w:p>
    <w:p w:rsidR="00A41E96" w:rsidRDefault="00A41E96" w:rsidP="00A41E96">
      <w:pPr>
        <w:widowControl w:val="0"/>
        <w:jc w:val="left"/>
      </w:pPr>
    </w:p>
    <w:p w:rsidR="00A41E96" w:rsidRDefault="00A41E96" w:rsidP="00A41E96">
      <w:pPr>
        <w:widowControl w:val="0"/>
        <w:tabs>
          <w:tab w:val="center" w:pos="590"/>
          <w:tab w:val="center" w:pos="1440"/>
          <w:tab w:val="left" w:pos="1872"/>
          <w:tab w:val="left" w:pos="9187"/>
        </w:tabs>
        <w:jc w:val="left"/>
      </w:pPr>
      <w:r w:rsidRPr="00A41E96">
        <w:rPr>
          <w:b/>
        </w:rPr>
        <w:t>HISTORY OF LEGISLATIVE ACTIONS</w:t>
      </w:r>
    </w:p>
    <w:p w:rsidR="00A41E96" w:rsidRDefault="00A41E96" w:rsidP="00A41E96">
      <w:pPr>
        <w:widowControl w:val="0"/>
        <w:tabs>
          <w:tab w:val="center" w:pos="590"/>
          <w:tab w:val="center" w:pos="1440"/>
          <w:tab w:val="left" w:pos="1872"/>
          <w:tab w:val="left" w:pos="9187"/>
        </w:tabs>
        <w:jc w:val="left"/>
      </w:pPr>
    </w:p>
    <w:p w:rsidR="00A41E96" w:rsidRPr="00A41E96" w:rsidRDefault="00A41E96" w:rsidP="00A41E96">
      <w:pPr>
        <w:widowControl w:val="0"/>
        <w:tabs>
          <w:tab w:val="center" w:pos="590"/>
          <w:tab w:val="center" w:pos="1440"/>
          <w:tab w:val="left" w:pos="1872"/>
          <w:tab w:val="left" w:pos="9187"/>
        </w:tabs>
        <w:jc w:val="left"/>
      </w:pPr>
      <w:r w:rsidRPr="00A41E96">
        <w:rPr>
          <w:u w:val="single"/>
        </w:rPr>
        <w:tab/>
        <w:t>Date</w:t>
      </w:r>
      <w:r w:rsidRPr="00A41E96">
        <w:rPr>
          <w:u w:val="single"/>
        </w:rPr>
        <w:tab/>
        <w:t>Body</w:t>
      </w:r>
      <w:r w:rsidRPr="00A41E96">
        <w:rPr>
          <w:u w:val="single"/>
        </w:rPr>
        <w:tab/>
        <w:t>Action Description with journal page number</w:t>
      </w:r>
      <w:r w:rsidRPr="00A41E96">
        <w:rPr>
          <w:u w:val="single"/>
        </w:rPr>
        <w:tab/>
      </w:r>
    </w:p>
    <w:p w:rsidR="00F65F17" w:rsidRDefault="00F65F17" w:rsidP="00F65F17">
      <w:pPr>
        <w:widowControl w:val="0"/>
        <w:tabs>
          <w:tab w:val="right" w:pos="1008"/>
          <w:tab w:val="left" w:pos="1152"/>
          <w:tab w:val="left" w:pos="1872"/>
          <w:tab w:val="left" w:pos="9187"/>
        </w:tabs>
        <w:ind w:left="2088" w:hanging="2088"/>
      </w:pPr>
      <w:r>
        <w:tab/>
        <w:t>12/9/2020</w:t>
      </w:r>
      <w:r>
        <w:tab/>
        <w:t>House</w:t>
      </w:r>
      <w:r>
        <w:tab/>
        <w:t>Prefiled</w:t>
      </w:r>
    </w:p>
    <w:p w:rsidR="00F65F17" w:rsidRDefault="00F65F17" w:rsidP="00F65F1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10597E">
        <w:rPr>
          <w:b/>
        </w:rPr>
        <w:t>Judiciary</w:t>
      </w:r>
    </w:p>
    <w:p w:rsidR="00F65F17" w:rsidRDefault="00F65F17" w:rsidP="00F65F1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10597E">
          <w:rPr>
            <w:rStyle w:val="Hyperlink"/>
          </w:rPr>
          <w:t>House Journal</w:t>
        </w:r>
        <w:r w:rsidRPr="0010597E">
          <w:rPr>
            <w:rStyle w:val="Hyperlink"/>
          </w:rPr>
          <w:noBreakHyphen/>
          <w:t>page 48</w:t>
        </w:r>
      </w:hyperlink>
      <w:r>
        <w:t>)</w:t>
      </w:r>
    </w:p>
    <w:p w:rsidR="00F65F17" w:rsidRDefault="00F65F17" w:rsidP="00F65F1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10597E">
        <w:rPr>
          <w:b/>
        </w:rPr>
        <w:t>Judiciary</w:t>
      </w:r>
      <w:r>
        <w:t xml:space="preserve"> (</w:t>
      </w:r>
      <w:hyperlink r:id="rId8" w:history="1">
        <w:r w:rsidRPr="0010597E">
          <w:rPr>
            <w:rStyle w:val="Hyperlink"/>
          </w:rPr>
          <w:t>House Journal</w:t>
        </w:r>
        <w:r w:rsidRPr="0010597E">
          <w:rPr>
            <w:rStyle w:val="Hyperlink"/>
          </w:rPr>
          <w:noBreakHyphen/>
          <w:t>page 48</w:t>
        </w:r>
      </w:hyperlink>
      <w:r>
        <w:t>)</w:t>
      </w:r>
    </w:p>
    <w:p w:rsidR="00F65F17" w:rsidRDefault="00F65F17" w:rsidP="00F65F17">
      <w:pPr>
        <w:widowControl w:val="0"/>
        <w:tabs>
          <w:tab w:val="right" w:pos="1008"/>
          <w:tab w:val="left" w:pos="1152"/>
          <w:tab w:val="left" w:pos="1872"/>
          <w:tab w:val="left" w:pos="9187"/>
        </w:tabs>
        <w:ind w:left="2088" w:hanging="2088"/>
      </w:pPr>
    </w:p>
    <w:p w:rsidR="00A41E96" w:rsidRDefault="00A41E96" w:rsidP="00A41E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1E96">
          <w:rPr>
            <w:rStyle w:val="Hyperlink"/>
          </w:rPr>
          <w:t>legislative information</w:t>
        </w:r>
      </w:hyperlink>
      <w:r>
        <w:t xml:space="preserve"> at the website</w:t>
      </w:r>
    </w:p>
    <w:p w:rsidR="00A41E96" w:rsidRDefault="00A41E96" w:rsidP="00A41E96">
      <w:pPr>
        <w:widowControl w:val="0"/>
        <w:tabs>
          <w:tab w:val="right" w:pos="1008"/>
          <w:tab w:val="left" w:pos="1152"/>
          <w:tab w:val="left" w:pos="1872"/>
          <w:tab w:val="left" w:pos="9187"/>
        </w:tabs>
        <w:ind w:left="2088" w:hanging="2088"/>
        <w:jc w:val="left"/>
      </w:pPr>
    </w:p>
    <w:p w:rsidR="00A41E96" w:rsidRPr="00A41E96" w:rsidRDefault="00A41E96" w:rsidP="00A41E96">
      <w:pPr>
        <w:widowControl w:val="0"/>
        <w:tabs>
          <w:tab w:val="right" w:pos="1008"/>
          <w:tab w:val="left" w:pos="1152"/>
          <w:tab w:val="left" w:pos="1872"/>
          <w:tab w:val="left" w:pos="9187"/>
        </w:tabs>
        <w:ind w:left="2088" w:hanging="2088"/>
        <w:jc w:val="left"/>
      </w:pPr>
    </w:p>
    <w:p w:rsidR="00A41E96" w:rsidRDefault="00A41E96" w:rsidP="00A41E96">
      <w:pPr>
        <w:widowControl w:val="0"/>
        <w:jc w:val="left"/>
      </w:pPr>
      <w:r w:rsidRPr="00A41E96">
        <w:rPr>
          <w:b/>
        </w:rPr>
        <w:t>VERSIONS OF THIS BILL</w:t>
      </w:r>
    </w:p>
    <w:p w:rsidR="00A41E96" w:rsidRDefault="00A41E96" w:rsidP="00A41E96">
      <w:pPr>
        <w:widowControl w:val="0"/>
        <w:jc w:val="left"/>
      </w:pPr>
    </w:p>
    <w:p w:rsidR="00A41E96" w:rsidRDefault="00CC6C60" w:rsidP="00A41E96">
      <w:pPr>
        <w:widowControl w:val="0"/>
        <w:jc w:val="left"/>
      </w:pPr>
      <w:hyperlink r:id="rId10" w:history="1">
        <w:r w:rsidR="00A41E96">
          <w:rPr>
            <w:rStyle w:val="Hyperlink"/>
          </w:rPr>
          <w:t>12/9/2020</w:t>
        </w:r>
      </w:hyperlink>
    </w:p>
    <w:p w:rsidR="00A41E96" w:rsidRDefault="00A41E96" w:rsidP="00A41E96"/>
    <w:p w:rsidR="00A41E96" w:rsidRDefault="00A41E96" w:rsidP="00A41E96">
      <w:pPr>
        <w:sectPr w:rsidR="00A41E96" w:rsidSect="00A41E96">
          <w:pgSz w:w="12240" w:h="15840" w:code="1"/>
          <w:pgMar w:top="1080" w:right="1440" w:bottom="1080" w:left="1440" w:header="720" w:footer="720" w:gutter="0"/>
          <w:cols w:space="720"/>
          <w:noEndnote/>
          <w:docGrid w:linePitch="360"/>
        </w:sectPr>
      </w:pPr>
    </w:p>
    <w:p w:rsidR="00493649" w:rsidRDefault="004936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3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4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w:t>
      </w:r>
      <w:r>
        <w:noBreakHyphen/>
        <w:t>560 SO AS TO PROVIDE THAT A PERSON WHO IS REQUIRED TO REGISTER AS A SEX OFFENDER MAY PETITION THE COURT TO TERMINATE THE REGISTRATION REQUIREMENT TEN YEARS FROM THE DATE OF INITIAL REGISTRATION UNDER CERTAIN CIRCUMSTANCES; AND TO AMEND SECTION 23</w:t>
      </w:r>
      <w:r>
        <w:noBreakHyphen/>
        <w:t>3</w:t>
      </w:r>
      <w:r>
        <w:noBreakHyphen/>
        <w:t>460, RELATING TO REQUIRING A SEX OFFENDER TO REGISTER FOR LIFE, SO AS TO REDUCE THE MAXIMUM PERIOD OF REGISTRATION TO FIFTEEN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46C" w:rsidRDefault="00D7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46C" w:rsidRDefault="00D744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 Title 23 of the 1976 Code is amended by adding:</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noBreakHyphen/>
        <w:t>3</w:t>
      </w:r>
      <w:r>
        <w:noBreakHyphen/>
        <w:t>560.</w:t>
      </w:r>
      <w:r>
        <w:tab/>
      </w:r>
      <w:r w:rsidRPr="00547F7D">
        <w:rPr>
          <w:color w:val="000000" w:themeColor="text1"/>
          <w:u w:color="000000" w:themeColor="text1"/>
        </w:rPr>
        <w:t>(A)</w:t>
      </w:r>
      <w:r w:rsidRPr="00547F7D">
        <w:rPr>
          <w:color w:val="000000" w:themeColor="text1"/>
          <w:u w:color="000000" w:themeColor="text1"/>
        </w:rPr>
        <w:tab/>
        <w:t>Notwithstanding another provision of law, ten years from the date of initial registration, a person required to register under this article may petition the circuit court to terminate the lifetime registration requirement if the person has not been convicted of a subsequent offense requiring registration under this article.</w:t>
      </w:r>
      <w:r>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South Carolina, the petition </w:t>
      </w:r>
      <w:r>
        <w:rPr>
          <w:color w:val="000000" w:themeColor="text1"/>
          <w:u w:color="000000" w:themeColor="text1"/>
        </w:rPr>
        <w:t>must</w:t>
      </w:r>
      <w:r w:rsidRPr="00547F7D">
        <w:rPr>
          <w:color w:val="000000" w:themeColor="text1"/>
          <w:u w:color="000000" w:themeColor="text1"/>
        </w:rPr>
        <w:t xml:space="preserve"> be filed in the county where the offense occurred.</w:t>
      </w:r>
      <w:r>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another state, the petition </w:t>
      </w:r>
      <w:r>
        <w:rPr>
          <w:color w:val="000000" w:themeColor="text1"/>
          <w:u w:color="000000" w:themeColor="text1"/>
        </w:rPr>
        <w:t>must</w:t>
      </w:r>
      <w:r w:rsidRPr="00547F7D">
        <w:rPr>
          <w:color w:val="000000" w:themeColor="text1"/>
          <w:u w:color="000000" w:themeColor="text1"/>
        </w:rPr>
        <w:t xml:space="preserve"> be filed in the county where the person resides. A person who petitions to terminate the registration requirement for a reportable conviction that is an out</w:t>
      </w:r>
      <w:r>
        <w:rPr>
          <w:color w:val="000000" w:themeColor="text1"/>
          <w:u w:color="000000" w:themeColor="text1"/>
        </w:rPr>
        <w:noBreakHyphen/>
      </w:r>
      <w:r w:rsidRPr="00547F7D">
        <w:rPr>
          <w:color w:val="000000" w:themeColor="text1"/>
          <w:u w:color="000000" w:themeColor="text1"/>
        </w:rPr>
        <w:t>of</w:t>
      </w:r>
      <w:r>
        <w:rPr>
          <w:color w:val="000000" w:themeColor="text1"/>
          <w:u w:color="000000" w:themeColor="text1"/>
        </w:rPr>
        <w:noBreakHyphen/>
        <w:t>state offense also shall</w:t>
      </w:r>
      <w:r w:rsidRPr="00547F7D">
        <w:rPr>
          <w:color w:val="000000" w:themeColor="text1"/>
          <w:u w:color="000000" w:themeColor="text1"/>
        </w:rPr>
        <w:t xml:space="preserve">: </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lastRenderedPageBreak/>
        <w:tab/>
      </w:r>
      <w:r w:rsidRPr="00547F7D">
        <w:rPr>
          <w:color w:val="000000" w:themeColor="text1"/>
          <w:u w:color="000000" w:themeColor="text1"/>
        </w:rPr>
        <w:tab/>
        <w:t>(1)</w:t>
      </w:r>
      <w:r w:rsidRPr="00547F7D">
        <w:rPr>
          <w:color w:val="000000" w:themeColor="text1"/>
          <w:u w:color="000000" w:themeColor="text1"/>
        </w:rPr>
        <w:tab/>
        <w:t xml:space="preserve">provide written notice to the sheriff of the county where </w:t>
      </w:r>
      <w:r>
        <w:rPr>
          <w:color w:val="000000" w:themeColor="text1"/>
          <w:u w:color="000000" w:themeColor="text1"/>
        </w:rPr>
        <w:t>he</w:t>
      </w:r>
      <w:r w:rsidRPr="00547F7D">
        <w:rPr>
          <w:color w:val="000000" w:themeColor="text1"/>
          <w:u w:color="000000" w:themeColor="text1"/>
        </w:rPr>
        <w:t xml:space="preserve"> was convicted that </w:t>
      </w:r>
      <w:r>
        <w:rPr>
          <w:color w:val="000000" w:themeColor="text1"/>
          <w:u w:color="000000" w:themeColor="text1"/>
        </w:rPr>
        <w:t>he</w:t>
      </w:r>
      <w:r w:rsidRPr="00547F7D">
        <w:rPr>
          <w:color w:val="000000" w:themeColor="text1"/>
          <w:u w:color="000000" w:themeColor="text1"/>
        </w:rPr>
        <w:t xml:space="preserve"> is petitioning the court to terminate the registration requirement; and </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r>
      <w:r>
        <w:rPr>
          <w:color w:val="000000" w:themeColor="text1"/>
          <w:u w:color="000000" w:themeColor="text1"/>
        </w:rPr>
        <w:t>(2)</w:t>
      </w:r>
      <w:r>
        <w:rPr>
          <w:color w:val="000000" w:themeColor="text1"/>
          <w:u w:color="000000" w:themeColor="text1"/>
        </w:rPr>
        <w:tab/>
      </w:r>
      <w:r w:rsidRPr="00547F7D">
        <w:rPr>
          <w:color w:val="000000" w:themeColor="text1"/>
          <w:u w:color="000000" w:themeColor="text1"/>
        </w:rPr>
        <w:t xml:space="preserve">include with the petition at the time of its filing, an affidavit, signed by the petitioner, that verifies that </w:t>
      </w:r>
      <w:r>
        <w:rPr>
          <w:color w:val="000000" w:themeColor="text1"/>
          <w:u w:color="000000" w:themeColor="text1"/>
        </w:rPr>
        <w:t>he</w:t>
      </w:r>
      <w:r w:rsidRPr="00547F7D">
        <w:rPr>
          <w:color w:val="000000" w:themeColor="text1"/>
          <w:u w:color="000000" w:themeColor="text1"/>
        </w:rPr>
        <w:t xml:space="preserve"> has notified the sheriff of the county where </w:t>
      </w:r>
      <w:r>
        <w:rPr>
          <w:color w:val="000000" w:themeColor="text1"/>
          <w:u w:color="000000" w:themeColor="text1"/>
        </w:rPr>
        <w:t>he</w:t>
      </w:r>
      <w:r w:rsidRPr="00547F7D">
        <w:rPr>
          <w:color w:val="000000" w:themeColor="text1"/>
          <w:u w:color="000000" w:themeColor="text1"/>
        </w:rPr>
        <w:t xml:space="preserve"> was convicted of the petition and that provides the mailing address and contact information for th</w:t>
      </w:r>
      <w:r>
        <w:rPr>
          <w:color w:val="000000" w:themeColor="text1"/>
          <w:u w:color="000000" w:themeColor="text1"/>
        </w:rPr>
        <w:t>e</w:t>
      </w:r>
      <w:r w:rsidRPr="00547F7D">
        <w:rPr>
          <w:color w:val="000000" w:themeColor="text1"/>
          <w:u w:color="000000" w:themeColor="text1"/>
        </w:rPr>
        <w:t xml:space="preserve"> sheriff.</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(B)</w:t>
      </w:r>
      <w:r w:rsidRPr="00547F7D">
        <w:rPr>
          <w:color w:val="000000" w:themeColor="text1"/>
          <w:u w:color="000000" w:themeColor="text1"/>
        </w:rPr>
        <w:tab/>
        <w:t>The court may grant the relief if:</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(1)</w:t>
      </w:r>
      <w:r w:rsidRPr="00547F7D">
        <w:rPr>
          <w:color w:val="000000" w:themeColor="text1"/>
          <w:u w:color="000000" w:themeColor="text1"/>
        </w:rPr>
        <w:tab/>
        <w:t xml:space="preserve">the petitioner demonstrates to the court that he has not been arrested for any crime that would require registration under this </w:t>
      </w:r>
      <w:r>
        <w:rPr>
          <w:color w:val="000000" w:themeColor="text1"/>
          <w:u w:color="000000" w:themeColor="text1"/>
        </w:rPr>
        <w:t>a</w:t>
      </w:r>
      <w:r w:rsidRPr="00547F7D">
        <w:rPr>
          <w:color w:val="000000" w:themeColor="text1"/>
          <w:u w:color="000000" w:themeColor="text1"/>
        </w:rPr>
        <w:t>rticl</w:t>
      </w:r>
      <w:r>
        <w:rPr>
          <w:color w:val="000000" w:themeColor="text1"/>
          <w:u w:color="000000" w:themeColor="text1"/>
        </w:rPr>
        <w:t>e since completing his sentence; and</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(2)</w:t>
      </w:r>
      <w:r w:rsidRPr="00547F7D">
        <w:rPr>
          <w:color w:val="000000" w:themeColor="text1"/>
          <w:u w:color="000000" w:themeColor="text1"/>
        </w:rPr>
        <w:tab/>
        <w:t>the requested relief complies with the provisions of the federal Jacob Wetterling Act, as amended, and any other federal standards applicable to the termination of a registration requirement or required to be met as a condition for the receip</w:t>
      </w:r>
      <w:r>
        <w:rPr>
          <w:color w:val="000000" w:themeColor="text1"/>
          <w:u w:color="000000" w:themeColor="text1"/>
        </w:rPr>
        <w:t>t of federal funds by the State;</w:t>
      </w:r>
      <w:r w:rsidRPr="00547F7D">
        <w:rPr>
          <w:color w:val="000000" w:themeColor="text1"/>
          <w:u w:color="000000" w:themeColor="text1"/>
        </w:rPr>
        <w:t xml:space="preserve"> and</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(3)</w:t>
      </w:r>
      <w:r w:rsidRPr="00547F7D">
        <w:rPr>
          <w:color w:val="000000" w:themeColor="text1"/>
          <w:u w:color="000000" w:themeColor="text1"/>
        </w:rPr>
        <w:tab/>
        <w:t>the court is otherwise satisfied that the petitioner is not a current or potential threat to public safety.</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(C)</w:t>
      </w:r>
      <w:r w:rsidRPr="00547F7D">
        <w:rPr>
          <w:color w:val="000000" w:themeColor="text1"/>
          <w:u w:color="000000" w:themeColor="text1"/>
        </w:rPr>
        <w:tab/>
        <w:t>The solicitor in the circuit in which the petition is filed must be given notice of the petition at least three weeks before the hearing on the matter. The petitioner may present evidence in support of the petition and the solicitor may present evidence in opposition to the requested relief or may otherwise demonstrate the reasons why the petition should be denied.</w:t>
      </w:r>
    </w:p>
    <w:p w:rsidR="008E3583" w:rsidRPr="00547F7D"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(D)</w:t>
      </w:r>
      <w:r w:rsidRPr="00547F7D">
        <w:rPr>
          <w:color w:val="000000" w:themeColor="text1"/>
          <w:u w:color="000000" w:themeColor="text1"/>
        </w:rPr>
        <w:tab/>
        <w:t>If the court denies the petition, the person may again petition the court for relief in accordance with this section one year from the date of the denial of the original petition to terminate the registration requirement. If the court grants the petition to terminate the registration requirement, the clerk of court shall forward a certified copy of the order to SLED to have the person</w:t>
      </w:r>
      <w:r w:rsidRPr="008E3583">
        <w:rPr>
          <w:color w:val="000000" w:themeColor="text1"/>
          <w:u w:color="000000" w:themeColor="text1"/>
        </w:rPr>
        <w:t>’</w:t>
      </w:r>
      <w:r w:rsidRPr="00547F7D">
        <w:rPr>
          <w:color w:val="000000" w:themeColor="text1"/>
          <w:u w:color="000000" w:themeColor="text1"/>
        </w:rPr>
        <w:t>s name removed from the registry.</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7F7D">
        <w:rPr>
          <w:color w:val="000000" w:themeColor="text1"/>
          <w:u w:color="000000" w:themeColor="text1"/>
        </w:rPr>
        <w:tab/>
        <w:t>(E)</w:t>
      </w:r>
      <w:r w:rsidRPr="00547F7D">
        <w:rPr>
          <w:color w:val="000000" w:themeColor="text1"/>
          <w:u w:color="000000" w:themeColor="text1"/>
        </w:rPr>
        <w:tab/>
        <w:t>If there is a subsequent offense, SLED</w:t>
      </w:r>
      <w:r w:rsidRPr="008E3583">
        <w:rPr>
          <w:color w:val="000000" w:themeColor="text1"/>
          <w:u w:color="000000" w:themeColor="text1"/>
        </w:rPr>
        <w:t>’</w:t>
      </w:r>
      <w:r w:rsidRPr="00547F7D">
        <w:rPr>
          <w:color w:val="000000" w:themeColor="text1"/>
          <w:u w:color="000000" w:themeColor="text1"/>
        </w:rPr>
        <w:t xml:space="preserve">s registration records </w:t>
      </w:r>
      <w:r>
        <w:rPr>
          <w:color w:val="000000" w:themeColor="text1"/>
          <w:u w:color="000000" w:themeColor="text1"/>
        </w:rPr>
        <w:t>must</w:t>
      </w:r>
      <w:r w:rsidRPr="00547F7D">
        <w:rPr>
          <w:color w:val="000000" w:themeColor="text1"/>
          <w:u w:color="000000" w:themeColor="text1"/>
        </w:rPr>
        <w:t xml:space="preserve"> be retained until the registration requirement for the subsequent offense is terminated by the court under subsection (A).</w:t>
      </w:r>
      <w:r>
        <w:rPr>
          <w:color w:val="000000" w:themeColor="text1"/>
          <w:u w:color="000000" w:themeColor="text1"/>
        </w:rPr>
        <w:t>”</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460(A) of the 1976 Code is amended to read:</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F7FED">
        <w:t xml:space="preserve">A person required to register pursuant to this article is required to register biannually for </w:t>
      </w:r>
      <w:r w:rsidRPr="00BA1D49">
        <w:rPr>
          <w:strike/>
        </w:rPr>
        <w:t>life</w:t>
      </w:r>
      <w:r>
        <w:t xml:space="preserve"> </w:t>
      </w:r>
      <w:r>
        <w:rPr>
          <w:u w:val="single"/>
        </w:rPr>
        <w:t>fifteen years</w:t>
      </w:r>
      <w:r w:rsidRPr="005F7FED">
        <w:t xml:space="preserve">. For purposes of this article, </w:t>
      </w:r>
      <w:r w:rsidRPr="008E3583">
        <w:t>‘</w:t>
      </w:r>
      <w:r w:rsidRPr="005F7FED">
        <w:t>biannually</w:t>
      </w:r>
      <w:r w:rsidRPr="008E3583">
        <w:t>’</w:t>
      </w:r>
      <w:r w:rsidRPr="005F7FED">
        <w:t xml:space="preserve"> means each year during the month of his birthday and again during the sixth month following his birth month. The person required to register shall register and must reregister at the sheriff</w:t>
      </w:r>
      <w:r w:rsidRPr="008E3583">
        <w:t>’</w:t>
      </w:r>
      <w:r w:rsidRPr="005F7FED">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Pr="008E3583">
        <w:t>’</w:t>
      </w:r>
      <w:r w:rsidRPr="005F7FED">
        <w:t>s department in the county in which he resides unless the person is committed to the custody of the State, and verification will be held in abeyance until his release.</w:t>
      </w:r>
      <w:r>
        <w:t>”</w:t>
      </w:r>
    </w:p>
    <w:p w:rsidR="008E3583"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46C" w:rsidRDefault="008E3583" w:rsidP="008E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46B5" w:rsidRDefault="008E3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E96" w:rsidRDefault="00A41E96" w:rsidP="00A41E96">
      <w:pPr>
        <w:suppressAutoHyphens/>
      </w:pPr>
    </w:p>
    <w:sectPr w:rsidR="00A41E96" w:rsidSect="00A41E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46C" w:rsidRDefault="00D7446C" w:rsidP="009F0C77">
      <w:r>
        <w:separator/>
      </w:r>
    </w:p>
  </w:endnote>
  <w:endnote w:type="continuationSeparator" w:id="0">
    <w:p w:rsidR="00D7446C" w:rsidRDefault="00D744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5685D0-04A9-4628-8F13-B1833994222F}"/>
    <w:embedBold r:id="rId2" w:fontKey="{69700472-976A-4648-8CC0-186E25A73F65}"/>
  </w:font>
  <w:font w:name="Calibri">
    <w:panose1 w:val="020F0502020204030204"/>
    <w:charset w:val="00"/>
    <w:family w:val="swiss"/>
    <w:pitch w:val="variable"/>
    <w:sig w:usb0="E0002EFF" w:usb1="C000247B" w:usb2="00000009" w:usb3="00000000" w:csb0="000001FF" w:csb1="00000000"/>
    <w:embedRegular r:id="rId3" w:fontKey="{E0B42644-BA21-440B-9C5D-EA7D79423B94}"/>
  </w:font>
  <w:font w:name="Segoe UI">
    <w:panose1 w:val="020B0502040204020203"/>
    <w:charset w:val="00"/>
    <w:family w:val="swiss"/>
    <w:pitch w:val="variable"/>
    <w:sig w:usb0="E4002EFF" w:usb1="C000E47F" w:usb2="00000009" w:usb3="00000000" w:csb0="000001FF" w:csb1="00000000"/>
    <w:embedRegular r:id="rId4" w:fontKey="{F3FA18DE-0BF1-4D3E-8FE9-D91505E2750B}"/>
  </w:font>
  <w:font w:name="Cambria">
    <w:panose1 w:val="02040503050406030204"/>
    <w:charset w:val="00"/>
    <w:family w:val="roman"/>
    <w:pitch w:val="variable"/>
    <w:sig w:usb0="E00006FF" w:usb1="420024FF" w:usb2="02000000" w:usb3="00000000" w:csb0="0000019F" w:csb1="00000000"/>
    <w:embedRegular r:id="rId5" w:fontKey="{4149F156-6733-4BC0-B11B-78224E65FA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1E96" w:rsidRPr="00493649" w:rsidRDefault="00A41E96" w:rsidP="00493649">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sidR="002537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46C" w:rsidRDefault="00D7446C" w:rsidP="009F0C77">
      <w:r>
        <w:separator/>
      </w:r>
    </w:p>
  </w:footnote>
  <w:footnote w:type="continuationSeparator" w:id="0">
    <w:p w:rsidR="00D7446C" w:rsidRDefault="00D744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6CM21"/>
    <w:docVar w:name="CoverBillType" w:val="b"/>
    <w:docVar w:name="DocPath" w:val="L:\Council\bills\GT\5866CM21.DOCX"/>
    <w:docVar w:name="dvBillNumber" w:val="3044"/>
    <w:docVar w:name="dvBillNumberPrefix" w:val="H. "/>
    <w:docVar w:name="dvOriginalBody" w:val="House"/>
    <w:docVar w:name="dvSteno" w:val="GT"/>
    <w:docVar w:name="NameofBody" w:val="h"/>
    <w:docVar w:name="vGroup2" w:val="Council"/>
  </w:docVars>
  <w:rsids>
    <w:rsidRoot w:val="00D7446C"/>
    <w:rsid w:val="00011869"/>
    <w:rsid w:val="00015CD6"/>
    <w:rsid w:val="00033EA7"/>
    <w:rsid w:val="000E0100"/>
    <w:rsid w:val="000E1785"/>
    <w:rsid w:val="000F40FA"/>
    <w:rsid w:val="001035F1"/>
    <w:rsid w:val="00105FDF"/>
    <w:rsid w:val="0010776B"/>
    <w:rsid w:val="00133E66"/>
    <w:rsid w:val="001435A3"/>
    <w:rsid w:val="00146ED3"/>
    <w:rsid w:val="00151044"/>
    <w:rsid w:val="001D08F2"/>
    <w:rsid w:val="001D3A58"/>
    <w:rsid w:val="001D525B"/>
    <w:rsid w:val="001D7F4F"/>
    <w:rsid w:val="00205238"/>
    <w:rsid w:val="002321B6"/>
    <w:rsid w:val="00232912"/>
    <w:rsid w:val="00250967"/>
    <w:rsid w:val="002537DD"/>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64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3583"/>
    <w:rsid w:val="008F0F33"/>
    <w:rsid w:val="008F4429"/>
    <w:rsid w:val="0094021A"/>
    <w:rsid w:val="009B44AF"/>
    <w:rsid w:val="009C6A0B"/>
    <w:rsid w:val="009F0C77"/>
    <w:rsid w:val="009F4DD1"/>
    <w:rsid w:val="00A02543"/>
    <w:rsid w:val="00A41684"/>
    <w:rsid w:val="00A41E96"/>
    <w:rsid w:val="00A64E80"/>
    <w:rsid w:val="00A72BCD"/>
    <w:rsid w:val="00A741D9"/>
    <w:rsid w:val="00A833AB"/>
    <w:rsid w:val="00A9741D"/>
    <w:rsid w:val="00AA7433"/>
    <w:rsid w:val="00AC34A2"/>
    <w:rsid w:val="00AD1C9A"/>
    <w:rsid w:val="00AD46B5"/>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446C"/>
    <w:rsid w:val="00D970A9"/>
    <w:rsid w:val="00DB2E52"/>
    <w:rsid w:val="00DF3845"/>
    <w:rsid w:val="00E41911"/>
    <w:rsid w:val="00E44B57"/>
    <w:rsid w:val="00E92EEF"/>
    <w:rsid w:val="00EF2368"/>
    <w:rsid w:val="00F24442"/>
    <w:rsid w:val="00F50AE3"/>
    <w:rsid w:val="00F655B7"/>
    <w:rsid w:val="00F656BA"/>
    <w:rsid w:val="00F65F17"/>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C1851B-85A8-4694-A077-97BE01D7E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5F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FDF"/>
    <w:rPr>
      <w:rFonts w:ascii="Segoe UI" w:eastAsia="Times New Roman" w:hAnsi="Segoe UI" w:cs="Segoe UI"/>
      <w:sz w:val="18"/>
      <w:szCs w:val="18"/>
    </w:rPr>
  </w:style>
  <w:style w:type="character" w:styleId="Hyperlink">
    <w:name w:val="Hyperlink"/>
    <w:basedOn w:val="DefaultParagraphFont"/>
    <w:uiPriority w:val="99"/>
    <w:unhideWhenUsed/>
    <w:rsid w:val="00A41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4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9BF66-872B-4C6E-9003-D67EAD84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3044: Subject not yet available - South Carolina Legislature Online</dc:title>
  <dc:creator>Gwen Thurmond</dc:creator>
  <cp:lastModifiedBy>S Wilson</cp:lastModifiedBy>
  <cp:revision>2</cp:revision>
  <cp:lastPrinted>2020-11-18T19:23:00Z</cp:lastPrinted>
  <dcterms:created xsi:type="dcterms:W3CDTF">2021-01-23T19:21:00Z</dcterms:created>
  <dcterms:modified xsi:type="dcterms:W3CDTF">2021-01-23T19:21:00Z</dcterms:modified>
</cp:coreProperties>
</file>