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82B03">
        <w:rPr>
          <w:rFonts w:eastAsia="Times New Roman" w:cs="Times New Roman"/>
          <w:b/>
          <w:szCs w:val="20"/>
        </w:rPr>
        <w:t>South Carolina General Assembly</w:t>
      </w: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82B03">
        <w:rPr>
          <w:rFonts w:eastAsia="Times New Roman" w:cs="Times New Roman"/>
          <w:szCs w:val="20"/>
        </w:rPr>
        <w:t>124th Session, 2021-2022</w:t>
      </w: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B03" w:rsidRPr="00282B03" w:rsidRDefault="00F73FC0"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A66, R82, H3094</w:t>
      </w: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B03">
        <w:rPr>
          <w:rFonts w:eastAsia="Times New Roman" w:cs="Times New Roman"/>
          <w:b/>
          <w:szCs w:val="20"/>
        </w:rPr>
        <w:t>STATUS INFORMATION</w:t>
      </w: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B03">
        <w:rPr>
          <w:rFonts w:eastAsia="Times New Roman" w:cs="Times New Roman"/>
          <w:szCs w:val="20"/>
        </w:rPr>
        <w:t>General Bill</w:t>
      </w: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B03">
        <w:rPr>
          <w:rFonts w:eastAsia="Times New Roman" w:cs="Times New Roman"/>
          <w:szCs w:val="20"/>
        </w:rPr>
        <w:t>Sponsors: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w:t>
      </w: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B03">
        <w:rPr>
          <w:rFonts w:eastAsia="Times New Roman" w:cs="Times New Roman"/>
          <w:szCs w:val="20"/>
        </w:rPr>
        <w:t>Document Path: l:\council\bills\gt\5858cm21.docx</w:t>
      </w: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B03">
        <w:rPr>
          <w:rFonts w:eastAsia="Times New Roman" w:cs="Times New Roman"/>
          <w:szCs w:val="20"/>
        </w:rPr>
        <w:t>Companion/Similar bill(s): 589</w:t>
      </w: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424F" w:rsidRDefault="0086424F"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86424F" w:rsidRDefault="0086424F"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23, 2021</w:t>
      </w:r>
    </w:p>
    <w:p w:rsidR="0086424F" w:rsidRDefault="0086424F"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6, 2021</w:t>
      </w:r>
    </w:p>
    <w:p w:rsidR="0086424F" w:rsidRDefault="0086424F"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2021</w:t>
      </w:r>
    </w:p>
    <w:p w:rsidR="0086424F" w:rsidRDefault="0086424F"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86424F" w:rsidRDefault="0086424F"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B03">
        <w:rPr>
          <w:rFonts w:eastAsia="Times New Roman" w:cs="Times New Roman"/>
          <w:szCs w:val="20"/>
        </w:rPr>
        <w:t>Summary: Open Carry with Training Act</w:t>
      </w: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B03" w:rsidRPr="00282B03" w:rsidRDefault="00282B03" w:rsidP="00282B03">
      <w:pPr>
        <w:widowControl w:val="0"/>
        <w:tabs>
          <w:tab w:val="center" w:pos="590"/>
          <w:tab w:val="center" w:pos="1440"/>
          <w:tab w:val="left" w:pos="1872"/>
          <w:tab w:val="left" w:pos="9187"/>
        </w:tabs>
        <w:rPr>
          <w:rFonts w:eastAsia="Times New Roman" w:cs="Times New Roman"/>
          <w:szCs w:val="20"/>
        </w:rPr>
      </w:pPr>
      <w:r w:rsidRPr="00282B03">
        <w:rPr>
          <w:rFonts w:eastAsia="Times New Roman" w:cs="Times New Roman"/>
          <w:b/>
          <w:szCs w:val="20"/>
        </w:rPr>
        <w:t>HISTORY OF LEGISLATIVE ACTIONS</w:t>
      </w:r>
    </w:p>
    <w:p w:rsidR="00282B03" w:rsidRPr="00282B03" w:rsidRDefault="00282B03" w:rsidP="00282B03">
      <w:pPr>
        <w:widowControl w:val="0"/>
        <w:tabs>
          <w:tab w:val="center" w:pos="590"/>
          <w:tab w:val="center" w:pos="1440"/>
          <w:tab w:val="left" w:pos="1872"/>
          <w:tab w:val="left" w:pos="9187"/>
        </w:tabs>
        <w:rPr>
          <w:rFonts w:eastAsia="Times New Roman" w:cs="Times New Roman"/>
          <w:szCs w:val="20"/>
        </w:rPr>
      </w:pPr>
    </w:p>
    <w:p w:rsidR="00282B03" w:rsidRPr="00282B03" w:rsidRDefault="00282B03" w:rsidP="00282B03">
      <w:pPr>
        <w:widowControl w:val="0"/>
        <w:tabs>
          <w:tab w:val="center" w:pos="590"/>
          <w:tab w:val="center" w:pos="1440"/>
          <w:tab w:val="left" w:pos="1872"/>
          <w:tab w:val="left" w:pos="9187"/>
        </w:tabs>
        <w:rPr>
          <w:rFonts w:eastAsia="Times New Roman" w:cs="Times New Roman"/>
          <w:szCs w:val="20"/>
        </w:rPr>
      </w:pPr>
      <w:r w:rsidRPr="00282B03">
        <w:rPr>
          <w:rFonts w:eastAsia="Times New Roman" w:cs="Times New Roman"/>
          <w:szCs w:val="20"/>
          <w:u w:val="single"/>
        </w:rPr>
        <w:tab/>
        <w:t>Date</w:t>
      </w:r>
      <w:r w:rsidRPr="00282B03">
        <w:rPr>
          <w:rFonts w:eastAsia="Times New Roman" w:cs="Times New Roman"/>
          <w:szCs w:val="20"/>
          <w:u w:val="single"/>
        </w:rPr>
        <w:tab/>
        <w:t>Body</w:t>
      </w:r>
      <w:r w:rsidRPr="00282B03">
        <w:rPr>
          <w:rFonts w:eastAsia="Times New Roman" w:cs="Times New Roman"/>
          <w:szCs w:val="20"/>
          <w:u w:val="single"/>
        </w:rPr>
        <w:tab/>
        <w:t>Action Description with journal page number</w:t>
      </w:r>
      <w:r w:rsidRPr="00282B03">
        <w:rPr>
          <w:rFonts w:eastAsia="Times New Roman" w:cs="Times New Roman"/>
          <w:szCs w:val="20"/>
          <w:u w:val="single"/>
        </w:rPr>
        <w:tab/>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286658">
        <w:rPr>
          <w:rFonts w:cs="Times New Roman"/>
          <w:b/>
        </w:rPr>
        <w:t>Judiciary</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286658">
          <w:rPr>
            <w:rStyle w:val="Hyperlink"/>
            <w:rFonts w:cs="Times New Roman"/>
          </w:rPr>
          <w:t>House Journal</w:t>
        </w:r>
        <w:r w:rsidRPr="00286658">
          <w:rPr>
            <w:rStyle w:val="Hyperlink"/>
            <w:rFonts w:cs="Times New Roman"/>
          </w:rPr>
          <w:noBreakHyphen/>
          <w:t>page 68</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286658">
        <w:rPr>
          <w:rFonts w:cs="Times New Roman"/>
          <w:b/>
        </w:rPr>
        <w:t>Judiciary</w:t>
      </w:r>
      <w:r>
        <w:rPr>
          <w:rFonts w:cs="Times New Roman"/>
        </w:rPr>
        <w:t xml:space="preserve"> (</w:t>
      </w:r>
      <w:hyperlink r:id="rId8" w:history="1">
        <w:r w:rsidRPr="00286658">
          <w:rPr>
            <w:rStyle w:val="Hyperlink"/>
            <w:rFonts w:cs="Times New Roman"/>
          </w:rPr>
          <w:t>House Journal</w:t>
        </w:r>
        <w:r w:rsidRPr="00286658">
          <w:rPr>
            <w:rStyle w:val="Hyperlink"/>
            <w:rFonts w:cs="Times New Roman"/>
          </w:rPr>
          <w:noBreakHyphen/>
          <w:t>page 68</w:t>
        </w:r>
      </w:hyperlink>
      <w:bookmarkStart w:id="0" w:name="_GoBack"/>
      <w:bookmarkEnd w:id="0"/>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House</w:t>
      </w:r>
      <w:r>
        <w:rPr>
          <w:rFonts w:cs="Times New Roman"/>
        </w:rPr>
        <w:tab/>
        <w:t>Member(s) request name added as sponsor: T.Moore</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Member(s) request name added as sponsor: W.Cox, Bailey, Lowe, Atkinson, J.E.Johnson, Brittain</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Member(s) request name added as sponsor: Bennett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Member(s) request name added as sponsor: Hyde</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House</w:t>
      </w:r>
      <w:r>
        <w:rPr>
          <w:rFonts w:cs="Times New Roman"/>
        </w:rPr>
        <w:tab/>
        <w:t>Member(s) request name removed as sponsor: Robinson</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Member(s) request name added as sponsor: McGinnis</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 xml:space="preserve">Committee report: Favorable with amendment </w:t>
      </w:r>
      <w:r w:rsidRPr="00286658">
        <w:rPr>
          <w:rFonts w:cs="Times New Roman"/>
          <w:b/>
        </w:rPr>
        <w:t>Judiciary</w:t>
      </w:r>
      <w:r>
        <w:rPr>
          <w:rFonts w:cs="Times New Roman"/>
        </w:rPr>
        <w:t xml:space="preserve"> (</w:t>
      </w:r>
      <w:hyperlink r:id="rId9" w:history="1">
        <w:r w:rsidRPr="00286658">
          <w:rPr>
            <w:rStyle w:val="Hyperlink"/>
            <w:rFonts w:cs="Times New Roman"/>
          </w:rPr>
          <w:t>House Journal</w:t>
        </w:r>
        <w:r w:rsidRPr="00286658">
          <w:rPr>
            <w:rStyle w:val="Hyperlink"/>
            <w:rFonts w:cs="Times New Roman"/>
          </w:rPr>
          <w:noBreakHyphen/>
          <w:t>page 37</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Member(s) request name added as sponsor: Martin</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r>
      <w:r>
        <w:rPr>
          <w:rFonts w:cs="Times New Roman"/>
        </w:rPr>
        <w:tab/>
        <w:t>Scrivener's error corrected</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Requests for debate</w:t>
      </w:r>
      <w:r>
        <w:rPr>
          <w:rFonts w:cs="Times New Roman"/>
        </w:rPr>
        <w:noBreakHyphen/>
        <w:t>Rep(s).  B Cox, Magnuson, B Newton, McGarry, May, Dabney, Blackwell, Hixon, Hiott, Huggins, Matthews, Martin, GR Smith, Jones, Taylor, Forrest, Allison, Trantham, VS Moss, Bennett, Nutt, Pendarvis, Henegan, Kirby, Hart, Garvin, R Williams, Jefferson, JL Johnson, Hosey, Thigpen, Hewitt, Weeks, Henderson</w:t>
      </w:r>
      <w:r>
        <w:rPr>
          <w:rFonts w:cs="Times New Roman"/>
        </w:rPr>
        <w:noBreakHyphen/>
        <w:t>Myers, Tedder, Govan, McDaniel, Gatch, Brawley, Morgan (</w:t>
      </w:r>
      <w:hyperlink r:id="rId10" w:history="1">
        <w:r w:rsidRPr="00286658">
          <w:rPr>
            <w:rStyle w:val="Hyperlink"/>
            <w:rFonts w:cs="Times New Roman"/>
          </w:rPr>
          <w:t>House Journal</w:t>
        </w:r>
        <w:r w:rsidRPr="00286658">
          <w:rPr>
            <w:rStyle w:val="Hyperlink"/>
            <w:rFonts w:cs="Times New Roman"/>
          </w:rPr>
          <w:noBreakHyphen/>
          <w:t>page 16</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Member(s) request name added as sponsor: Bradley</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Amended (</w:t>
      </w:r>
      <w:hyperlink r:id="rId11" w:history="1">
        <w:r w:rsidRPr="00286658">
          <w:rPr>
            <w:rStyle w:val="Hyperlink"/>
            <w:rFonts w:cs="Times New Roman"/>
          </w:rPr>
          <w:t>House Journal</w:t>
        </w:r>
        <w:r w:rsidRPr="00286658">
          <w:rPr>
            <w:rStyle w:val="Hyperlink"/>
            <w:rFonts w:cs="Times New Roman"/>
          </w:rPr>
          <w:noBreakHyphen/>
          <w:t>page 33</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Read second time (</w:t>
      </w:r>
      <w:hyperlink r:id="rId12" w:history="1">
        <w:r w:rsidRPr="00286658">
          <w:rPr>
            <w:rStyle w:val="Hyperlink"/>
            <w:rFonts w:cs="Times New Roman"/>
          </w:rPr>
          <w:t>House Journal</w:t>
        </w:r>
        <w:r w:rsidRPr="00286658">
          <w:rPr>
            <w:rStyle w:val="Hyperlink"/>
            <w:rFonts w:cs="Times New Roman"/>
          </w:rPr>
          <w:noBreakHyphen/>
          <w:t>page 33</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Roll call Yeas</w:t>
      </w:r>
      <w:r>
        <w:rPr>
          <w:rFonts w:cs="Times New Roman"/>
        </w:rPr>
        <w:noBreakHyphen/>
        <w:t>82  Nays</w:t>
      </w:r>
      <w:r>
        <w:rPr>
          <w:rFonts w:cs="Times New Roman"/>
        </w:rPr>
        <w:noBreakHyphen/>
        <w:t>33 (</w:t>
      </w:r>
      <w:hyperlink r:id="rId13" w:history="1">
        <w:r w:rsidRPr="00286658">
          <w:rPr>
            <w:rStyle w:val="Hyperlink"/>
            <w:rFonts w:cs="Times New Roman"/>
          </w:rPr>
          <w:t>House Journal</w:t>
        </w:r>
        <w:r w:rsidRPr="00286658">
          <w:rPr>
            <w:rStyle w:val="Hyperlink"/>
            <w:rFonts w:cs="Times New Roman"/>
          </w:rPr>
          <w:noBreakHyphen/>
          <w:t>page 72</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lastRenderedPageBreak/>
        <w:tab/>
        <w:t>3/18/2021</w:t>
      </w:r>
      <w:r>
        <w:rPr>
          <w:rFonts w:cs="Times New Roman"/>
        </w:rPr>
        <w:tab/>
      </w:r>
      <w:r>
        <w:rPr>
          <w:rFonts w:cs="Times New Roman"/>
        </w:rPr>
        <w:tab/>
        <w:t>Scrivener's error corrected</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Amended</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Read third time and sent to Senate</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Roll call Yeas</w:t>
      </w:r>
      <w:r>
        <w:rPr>
          <w:rFonts w:cs="Times New Roman"/>
        </w:rPr>
        <w:noBreakHyphen/>
        <w:t>73  Nays</w:t>
      </w:r>
      <w:r>
        <w:rPr>
          <w:rFonts w:cs="Times New Roman"/>
        </w:rPr>
        <w:noBreakHyphen/>
        <w:t>26</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Introduced and read first time</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 xml:space="preserve">Referred to Committee on </w:t>
      </w:r>
      <w:r w:rsidRPr="00286658">
        <w:rPr>
          <w:rFonts w:cs="Times New Roman"/>
          <w:b/>
        </w:rPr>
        <w:t>Judiciary</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Referred to Subcommittee:  Young (ch), Malloy, Massey, Kimpson, Garrett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 xml:space="preserve">Recalled from Committee on </w:t>
      </w:r>
      <w:r w:rsidRPr="00286658">
        <w:rPr>
          <w:rFonts w:cs="Times New Roman"/>
          <w:b/>
        </w:rPr>
        <w:t>Judiciary</w:t>
      </w:r>
      <w:r>
        <w:rPr>
          <w:rFonts w:cs="Times New Roman"/>
        </w:rPr>
        <w:t xml:space="preserve"> (</w:t>
      </w:r>
      <w:hyperlink r:id="rId14" w:history="1">
        <w:r w:rsidRPr="00286658">
          <w:rPr>
            <w:rStyle w:val="Hyperlink"/>
            <w:rFonts w:cs="Times New Roman"/>
          </w:rPr>
          <w:t>Senate Journal</w:t>
        </w:r>
        <w:r w:rsidRPr="00286658">
          <w:rPr>
            <w:rStyle w:val="Hyperlink"/>
            <w:rFonts w:cs="Times New Roman"/>
          </w:rPr>
          <w:noBreakHyphen/>
          <w:t>page 35</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Roll call Ayes</w:t>
      </w:r>
      <w:r>
        <w:rPr>
          <w:rFonts w:cs="Times New Roman"/>
        </w:rPr>
        <w:noBreakHyphen/>
        <w:t>27  Nays</w:t>
      </w:r>
      <w:r>
        <w:rPr>
          <w:rFonts w:cs="Times New Roman"/>
        </w:rPr>
        <w:noBreakHyphen/>
        <w:t>12 (</w:t>
      </w:r>
      <w:hyperlink r:id="rId15" w:history="1">
        <w:r w:rsidRPr="00286658">
          <w:rPr>
            <w:rStyle w:val="Hyperlink"/>
            <w:rFonts w:cs="Times New Roman"/>
          </w:rPr>
          <w:t>Senate Journal</w:t>
        </w:r>
        <w:r w:rsidRPr="00286658">
          <w:rPr>
            <w:rStyle w:val="Hyperlink"/>
            <w:rFonts w:cs="Times New Roman"/>
          </w:rPr>
          <w:noBreakHyphen/>
          <w:t>page 35</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Special order, set for  April 29, 2021 (</w:t>
      </w:r>
      <w:hyperlink r:id="rId16" w:history="1">
        <w:r w:rsidRPr="00286658">
          <w:rPr>
            <w:rStyle w:val="Hyperlink"/>
            <w:rFonts w:cs="Times New Roman"/>
          </w:rPr>
          <w:t>Senate Journal</w:t>
        </w:r>
        <w:r w:rsidRPr="00286658">
          <w:rPr>
            <w:rStyle w:val="Hyperlink"/>
            <w:rFonts w:cs="Times New Roman"/>
          </w:rPr>
          <w:noBreakHyphen/>
          <w:t>page 37</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Roll call Ayes</w:t>
      </w:r>
      <w:r>
        <w:rPr>
          <w:rFonts w:cs="Times New Roman"/>
        </w:rPr>
        <w:noBreakHyphen/>
        <w:t>28  Nays</w:t>
      </w:r>
      <w:r>
        <w:rPr>
          <w:rFonts w:cs="Times New Roman"/>
        </w:rPr>
        <w:noBreakHyphen/>
        <w:t>12 (</w:t>
      </w:r>
      <w:hyperlink r:id="rId17" w:history="1">
        <w:r w:rsidRPr="00286658">
          <w:rPr>
            <w:rStyle w:val="Hyperlink"/>
            <w:rFonts w:cs="Times New Roman"/>
          </w:rPr>
          <w:t>Senate Journal</w:t>
        </w:r>
        <w:r w:rsidRPr="00286658">
          <w:rPr>
            <w:rStyle w:val="Hyperlink"/>
            <w:rFonts w:cs="Times New Roman"/>
          </w:rPr>
          <w:noBreakHyphen/>
          <w:t>page 37</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Debate interrupted (</w:t>
      </w:r>
      <w:hyperlink r:id="rId18" w:history="1">
        <w:r w:rsidRPr="00286658">
          <w:rPr>
            <w:rStyle w:val="Hyperlink"/>
            <w:rFonts w:cs="Times New Roman"/>
          </w:rPr>
          <w:t>Senate Journal</w:t>
        </w:r>
        <w:r w:rsidRPr="00286658">
          <w:rPr>
            <w:rStyle w:val="Hyperlink"/>
            <w:rFonts w:cs="Times New Roman"/>
          </w:rPr>
          <w:noBreakHyphen/>
          <w:t>page 40</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Amended (</w:t>
      </w:r>
      <w:hyperlink r:id="rId19" w:history="1">
        <w:r w:rsidRPr="00286658">
          <w:rPr>
            <w:rStyle w:val="Hyperlink"/>
            <w:rFonts w:cs="Times New Roman"/>
          </w:rPr>
          <w:t>Senate Journal</w:t>
        </w:r>
        <w:r w:rsidRPr="00286658">
          <w:rPr>
            <w:rStyle w:val="Hyperlink"/>
            <w:rFonts w:cs="Times New Roman"/>
          </w:rPr>
          <w:noBreakHyphen/>
          <w:t>page 34</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Read second time (</w:t>
      </w:r>
      <w:hyperlink r:id="rId20" w:history="1">
        <w:r w:rsidRPr="00286658">
          <w:rPr>
            <w:rStyle w:val="Hyperlink"/>
            <w:rFonts w:cs="Times New Roman"/>
          </w:rPr>
          <w:t>Senate Journal</w:t>
        </w:r>
        <w:r w:rsidRPr="00286658">
          <w:rPr>
            <w:rStyle w:val="Hyperlink"/>
            <w:rFonts w:cs="Times New Roman"/>
          </w:rPr>
          <w:noBreakHyphen/>
          <w:t>page 34</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Scrivener's error corrected</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Amended (</w:t>
      </w:r>
      <w:hyperlink r:id="rId21" w:history="1">
        <w:r w:rsidRPr="00286658">
          <w:rPr>
            <w:rStyle w:val="Hyperlink"/>
            <w:rFonts w:cs="Times New Roman"/>
          </w:rPr>
          <w:t>Senate Journal</w:t>
        </w:r>
        <w:r w:rsidRPr="00286658">
          <w:rPr>
            <w:rStyle w:val="Hyperlink"/>
            <w:rFonts w:cs="Times New Roman"/>
          </w:rPr>
          <w:noBreakHyphen/>
          <w:t>page 66</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Read third time and returned to House with amendments (</w:t>
      </w:r>
      <w:hyperlink r:id="rId22" w:history="1">
        <w:r w:rsidRPr="00286658">
          <w:rPr>
            <w:rStyle w:val="Hyperlink"/>
            <w:rFonts w:cs="Times New Roman"/>
          </w:rPr>
          <w:t>Senate Journal</w:t>
        </w:r>
        <w:r w:rsidRPr="00286658">
          <w:rPr>
            <w:rStyle w:val="Hyperlink"/>
            <w:rFonts w:cs="Times New Roman"/>
          </w:rPr>
          <w:noBreakHyphen/>
          <w:t>page 66</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Roll call Ayes</w:t>
      </w:r>
      <w:r>
        <w:rPr>
          <w:rFonts w:cs="Times New Roman"/>
        </w:rPr>
        <w:noBreakHyphen/>
        <w:t>28  Nays</w:t>
      </w:r>
      <w:r>
        <w:rPr>
          <w:rFonts w:cs="Times New Roman"/>
        </w:rPr>
        <w:noBreakHyphen/>
        <w:t>16 (</w:t>
      </w:r>
      <w:hyperlink r:id="rId23" w:history="1">
        <w:r w:rsidRPr="00286658">
          <w:rPr>
            <w:rStyle w:val="Hyperlink"/>
            <w:rFonts w:cs="Times New Roman"/>
          </w:rPr>
          <w:t>Senate Journal</w:t>
        </w:r>
        <w:r w:rsidRPr="00286658">
          <w:rPr>
            <w:rStyle w:val="Hyperlink"/>
            <w:rFonts w:cs="Times New Roman"/>
          </w:rPr>
          <w:noBreakHyphen/>
          <w:t>page 66</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5/7/2021</w:t>
      </w:r>
      <w:r>
        <w:rPr>
          <w:rFonts w:cs="Times New Roman"/>
        </w:rPr>
        <w:tab/>
      </w:r>
      <w:r>
        <w:rPr>
          <w:rFonts w:cs="Times New Roman"/>
        </w:rPr>
        <w:tab/>
        <w:t>Scrivener's error corrected</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Concurred in Senate amendment and enrolled (</w:t>
      </w:r>
      <w:hyperlink r:id="rId24" w:history="1">
        <w:r w:rsidRPr="00286658">
          <w:rPr>
            <w:rStyle w:val="Hyperlink"/>
            <w:rFonts w:cs="Times New Roman"/>
          </w:rPr>
          <w:t>House Journal</w:t>
        </w:r>
        <w:r w:rsidRPr="00286658">
          <w:rPr>
            <w:rStyle w:val="Hyperlink"/>
            <w:rFonts w:cs="Times New Roman"/>
          </w:rPr>
          <w:noBreakHyphen/>
          <w:t>page 10</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83  Nays</w:t>
      </w:r>
      <w:r>
        <w:rPr>
          <w:rFonts w:cs="Times New Roman"/>
        </w:rPr>
        <w:noBreakHyphen/>
        <w:t>34 (</w:t>
      </w:r>
      <w:hyperlink r:id="rId25" w:history="1">
        <w:r w:rsidRPr="00286658">
          <w:rPr>
            <w:rStyle w:val="Hyperlink"/>
            <w:rFonts w:cs="Times New Roman"/>
          </w:rPr>
          <w:t>House Journal</w:t>
        </w:r>
        <w:r w:rsidRPr="00286658">
          <w:rPr>
            <w:rStyle w:val="Hyperlink"/>
            <w:rFonts w:cs="Times New Roman"/>
          </w:rPr>
          <w:noBreakHyphen/>
          <w:t>page 23</w:t>
        </w:r>
      </w:hyperlink>
      <w:r>
        <w:rPr>
          <w:rFonts w:cs="Times New Roman"/>
        </w:rPr>
        <w:t>)</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82</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08/15/21</w:t>
      </w:r>
    </w:p>
    <w:p w:rsidR="00F50C4A" w:rsidRDefault="00F50C4A" w:rsidP="00F50C4A">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66</w:t>
      </w:r>
    </w:p>
    <w:p w:rsidR="00F50C4A" w:rsidRDefault="00F50C4A" w:rsidP="00F50C4A">
      <w:pPr>
        <w:widowControl w:val="0"/>
        <w:tabs>
          <w:tab w:val="right" w:pos="1008"/>
          <w:tab w:val="left" w:pos="1152"/>
          <w:tab w:val="left" w:pos="1872"/>
          <w:tab w:val="left" w:pos="9187"/>
        </w:tabs>
        <w:ind w:left="2088" w:hanging="2088"/>
        <w:rPr>
          <w:rFonts w:cs="Times New Roman"/>
        </w:rPr>
      </w:pPr>
    </w:p>
    <w:p w:rsidR="00282B03" w:rsidRPr="00282B03" w:rsidRDefault="00282B03" w:rsidP="00282B03">
      <w:pPr>
        <w:widowControl w:val="0"/>
        <w:tabs>
          <w:tab w:val="right" w:pos="1008"/>
          <w:tab w:val="left" w:pos="1152"/>
          <w:tab w:val="left" w:pos="1872"/>
          <w:tab w:val="left" w:pos="9187"/>
        </w:tabs>
        <w:ind w:left="2088" w:hanging="2088"/>
        <w:rPr>
          <w:rFonts w:eastAsia="Times New Roman" w:cs="Times New Roman"/>
          <w:szCs w:val="20"/>
        </w:rPr>
      </w:pPr>
      <w:r w:rsidRPr="00282B03">
        <w:rPr>
          <w:rFonts w:eastAsia="Times New Roman" w:cs="Times New Roman"/>
          <w:szCs w:val="20"/>
        </w:rPr>
        <w:t xml:space="preserve">View the latest </w:t>
      </w:r>
      <w:hyperlink r:id="rId26" w:history="1">
        <w:r w:rsidRPr="00282B03">
          <w:rPr>
            <w:rFonts w:eastAsia="Times New Roman" w:cs="Times New Roman"/>
            <w:color w:val="0000FF" w:themeColor="hyperlink"/>
            <w:szCs w:val="20"/>
            <w:u w:val="single"/>
          </w:rPr>
          <w:t>legislative information</w:t>
        </w:r>
      </w:hyperlink>
      <w:r w:rsidRPr="00282B03">
        <w:rPr>
          <w:rFonts w:eastAsia="Times New Roman" w:cs="Times New Roman"/>
          <w:szCs w:val="20"/>
        </w:rPr>
        <w:t xml:space="preserve"> at the website</w:t>
      </w:r>
    </w:p>
    <w:p w:rsidR="00282B03" w:rsidRPr="00282B03" w:rsidRDefault="00282B03" w:rsidP="00282B03">
      <w:pPr>
        <w:widowControl w:val="0"/>
        <w:tabs>
          <w:tab w:val="right" w:pos="1008"/>
          <w:tab w:val="left" w:pos="1152"/>
          <w:tab w:val="left" w:pos="1872"/>
          <w:tab w:val="left" w:pos="9187"/>
        </w:tabs>
        <w:ind w:left="2088" w:hanging="2088"/>
        <w:rPr>
          <w:rFonts w:eastAsia="Times New Roman" w:cs="Times New Roman"/>
          <w:szCs w:val="20"/>
        </w:rPr>
      </w:pPr>
    </w:p>
    <w:p w:rsidR="00282B03" w:rsidRPr="00282B03" w:rsidRDefault="00282B03" w:rsidP="00282B03">
      <w:pPr>
        <w:widowControl w:val="0"/>
        <w:tabs>
          <w:tab w:val="right" w:pos="1008"/>
          <w:tab w:val="left" w:pos="1152"/>
          <w:tab w:val="left" w:pos="1872"/>
          <w:tab w:val="left" w:pos="9187"/>
        </w:tabs>
        <w:ind w:left="2088" w:hanging="2088"/>
        <w:rPr>
          <w:rFonts w:eastAsia="Times New Roman" w:cs="Times New Roman"/>
          <w:szCs w:val="20"/>
        </w:rPr>
      </w:pP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B03">
        <w:rPr>
          <w:rFonts w:eastAsia="Times New Roman" w:cs="Times New Roman"/>
          <w:b/>
          <w:szCs w:val="20"/>
        </w:rPr>
        <w:t>VERSIONS OF THIS BILL</w:t>
      </w:r>
    </w:p>
    <w:p w:rsidR="00282B03" w:rsidRPr="00282B03" w:rsidRDefault="00282B03"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B03" w:rsidRPr="00282B03" w:rsidRDefault="00104F8D" w:rsidP="00282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282B03" w:rsidRPr="00282B03">
          <w:rPr>
            <w:rFonts w:eastAsia="Times New Roman" w:cs="Times New Roman"/>
            <w:color w:val="0000FF" w:themeColor="hyperlink"/>
            <w:szCs w:val="20"/>
            <w:u w:val="single"/>
          </w:rPr>
          <w:t>12/9/2020</w:t>
        </w:r>
      </w:hyperlink>
    </w:p>
    <w:p w:rsidR="00282B03" w:rsidRPr="00282B03" w:rsidRDefault="00104F8D" w:rsidP="0028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82B03" w:rsidRPr="00282B03">
          <w:rPr>
            <w:rFonts w:eastAsia="Times New Roman" w:cs="Times New Roman"/>
            <w:color w:val="0000FF" w:themeColor="hyperlink"/>
            <w:szCs w:val="20"/>
            <w:u w:val="single"/>
          </w:rPr>
          <w:t>3/3/2021</w:t>
        </w:r>
      </w:hyperlink>
    </w:p>
    <w:p w:rsidR="00282B03" w:rsidRPr="00282B03" w:rsidRDefault="00104F8D" w:rsidP="0028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82B03" w:rsidRPr="00282B03">
          <w:rPr>
            <w:rFonts w:eastAsia="Times New Roman" w:cs="Times New Roman"/>
            <w:color w:val="0000FF" w:themeColor="hyperlink"/>
            <w:szCs w:val="20"/>
            <w:u w:val="single"/>
          </w:rPr>
          <w:t>3/4/2021</w:t>
        </w:r>
      </w:hyperlink>
    </w:p>
    <w:p w:rsidR="00282B03" w:rsidRPr="00282B03" w:rsidRDefault="00104F8D" w:rsidP="0028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82B03" w:rsidRPr="00282B03">
          <w:rPr>
            <w:rFonts w:eastAsia="Times New Roman" w:cs="Times New Roman"/>
            <w:color w:val="0000FF" w:themeColor="hyperlink"/>
            <w:szCs w:val="20"/>
            <w:u w:val="single"/>
          </w:rPr>
          <w:t>3/17/2021</w:t>
        </w:r>
      </w:hyperlink>
    </w:p>
    <w:p w:rsidR="00282B03" w:rsidRPr="00282B03" w:rsidRDefault="00104F8D" w:rsidP="0028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82B03" w:rsidRPr="00282B03">
          <w:rPr>
            <w:rFonts w:eastAsia="Times New Roman" w:cs="Times New Roman"/>
            <w:color w:val="0000FF" w:themeColor="hyperlink"/>
            <w:szCs w:val="20"/>
            <w:u w:val="single"/>
          </w:rPr>
          <w:t>3/18/2021</w:t>
        </w:r>
      </w:hyperlink>
    </w:p>
    <w:p w:rsidR="00282B03" w:rsidRPr="00282B03" w:rsidRDefault="00104F8D" w:rsidP="0028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82B03" w:rsidRPr="00282B03">
          <w:rPr>
            <w:rFonts w:eastAsia="Times New Roman" w:cs="Times New Roman"/>
            <w:color w:val="0000FF" w:themeColor="hyperlink"/>
            <w:szCs w:val="20"/>
            <w:u w:val="single"/>
          </w:rPr>
          <w:t>3/18/2021-A</w:t>
        </w:r>
      </w:hyperlink>
    </w:p>
    <w:p w:rsidR="00282B03" w:rsidRPr="00282B03" w:rsidRDefault="00104F8D" w:rsidP="0028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282B03" w:rsidRPr="00282B03">
          <w:rPr>
            <w:rFonts w:eastAsia="Times New Roman" w:cs="Times New Roman"/>
            <w:color w:val="0000FF" w:themeColor="hyperlink"/>
            <w:szCs w:val="20"/>
            <w:u w:val="single"/>
          </w:rPr>
          <w:t>4/29/2021</w:t>
        </w:r>
      </w:hyperlink>
    </w:p>
    <w:p w:rsidR="00282B03" w:rsidRPr="00282B03" w:rsidRDefault="00104F8D" w:rsidP="0028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282B03" w:rsidRPr="00282B03">
          <w:rPr>
            <w:rFonts w:eastAsia="Times New Roman" w:cs="Times New Roman"/>
            <w:color w:val="0000FF" w:themeColor="hyperlink"/>
            <w:szCs w:val="20"/>
            <w:u w:val="single"/>
          </w:rPr>
          <w:t>5/5/2021</w:t>
        </w:r>
      </w:hyperlink>
    </w:p>
    <w:p w:rsidR="00282B03" w:rsidRPr="00282B03" w:rsidRDefault="00104F8D" w:rsidP="0028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282B03" w:rsidRPr="00282B03">
          <w:rPr>
            <w:rFonts w:eastAsia="Times New Roman" w:cs="Times New Roman"/>
            <w:color w:val="0000FF" w:themeColor="hyperlink"/>
            <w:szCs w:val="20"/>
            <w:u w:val="single"/>
          </w:rPr>
          <w:t>5/6/2021</w:t>
        </w:r>
      </w:hyperlink>
    </w:p>
    <w:p w:rsidR="00282B03" w:rsidRPr="00282B03" w:rsidRDefault="00104F8D" w:rsidP="0028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282B03" w:rsidRPr="00282B03">
          <w:rPr>
            <w:rFonts w:eastAsia="Times New Roman" w:cs="Times New Roman"/>
            <w:color w:val="0000FF" w:themeColor="hyperlink"/>
            <w:szCs w:val="20"/>
            <w:u w:val="single"/>
          </w:rPr>
          <w:t>5/6/2021-A</w:t>
        </w:r>
      </w:hyperlink>
    </w:p>
    <w:p w:rsidR="00282B03" w:rsidRPr="00282B03" w:rsidRDefault="00104F8D" w:rsidP="0028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282B03" w:rsidRPr="00282B03">
          <w:rPr>
            <w:rFonts w:eastAsia="Times New Roman" w:cs="Times New Roman"/>
            <w:color w:val="0000FF" w:themeColor="hyperlink"/>
            <w:szCs w:val="20"/>
            <w:u w:val="single"/>
          </w:rPr>
          <w:t>5/7/2021</w:t>
        </w:r>
      </w:hyperlink>
    </w:p>
    <w:p w:rsidR="00282B03" w:rsidRPr="00282B03" w:rsidRDefault="00282B03" w:rsidP="0028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82B03" w:rsidRDefault="00282B03" w:rsidP="0028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82B03" w:rsidSect="00282B03">
          <w:pgSz w:w="12240" w:h="15840" w:code="1"/>
          <w:pgMar w:top="1080" w:right="1440" w:bottom="1080" w:left="1440" w:header="720" w:footer="720" w:gutter="0"/>
          <w:pgNumType w:start="1"/>
          <w:cols w:space="720"/>
          <w:noEndnote/>
          <w:docGrid w:linePitch="360"/>
        </w:sect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(A66, R82, H3094)</w:t>
      </w:r>
    </w:p>
    <w:p w:rsidR="009B1841" w:rsidRPr="008836A5"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B1841" w:rsidRPr="00282B03"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82B03">
        <w:rPr>
          <w:rFonts w:cs="Times New Roman"/>
          <w:b/>
          <w:color w:val="000000" w:themeColor="text1"/>
          <w:szCs w:val="36"/>
        </w:rPr>
        <w:t xml:space="preserve">AN ACT </w:t>
      </w:r>
      <w:r w:rsidRPr="00282B03">
        <w:rPr>
          <w:rFonts w:cs="Times New Roman"/>
          <w:b/>
        </w:rPr>
        <w:t>TO AMEND THE CODE OF LAWS OF SOUTH CAROLINA, 1976, SO AS TO ENACT THE “OPEN CARRY WITH TRAINING ACT”; TO AMEND SECTION 23</w:t>
      </w:r>
      <w:r w:rsidRPr="00282B03">
        <w:rPr>
          <w:rFonts w:cs="Times New Roman"/>
          <w:b/>
        </w:rPr>
        <w:noBreakHyphen/>
        <w:t>31</w:t>
      </w:r>
      <w:r w:rsidRPr="00282B03">
        <w:rPr>
          <w:rFonts w:cs="Times New Roman"/>
          <w:b/>
        </w:rPr>
        <w:noBreakHyphen/>
        <w:t>210, RELATING TO THE ISSUANCE OF CONCEALED WEAPON PERMITS, SO AS TO REVISE THE DEFINITION OF THE TERM “CONCEALABLE WEAPON” TO INCLUDE CERTAIN FIREARMS THAT MAY BE CARRIED OPENLY ON ONE’S PERSON; TO AMEND SECTION 16</w:t>
      </w:r>
      <w:r w:rsidRPr="00282B03">
        <w:rPr>
          <w:rFonts w:cs="Times New Roman"/>
          <w:b/>
        </w:rPr>
        <w:noBreakHyphen/>
        <w:t>23</w:t>
      </w:r>
      <w:r w:rsidRPr="00282B03">
        <w:rPr>
          <w:rFonts w:cs="Times New Roman"/>
          <w:b/>
        </w:rPr>
        <w:noBreakHyphen/>
        <w:t>20, RELATING TO THE CARRYING OF A HANDGUN, SO AS TO PROVIDE A PERSON WHO POSSESSES A CONCEALED WEAPON PERMIT MAY CARRY IT OPENLY ON OR ABOUT HIS PERSON IN A VEHICLE; TO AMEND SECTION 23</w:t>
      </w:r>
      <w:r w:rsidRPr="00282B03">
        <w:rPr>
          <w:rFonts w:cs="Times New Roman"/>
          <w:b/>
        </w:rPr>
        <w:noBreakHyphen/>
        <w:t>31</w:t>
      </w:r>
      <w:r w:rsidRPr="00282B03">
        <w:rPr>
          <w:rFonts w:cs="Times New Roman"/>
          <w:b/>
        </w:rPr>
        <w:noBreakHyphen/>
        <w:t>220, RELATING TO THE RIGHT OF AN EMPLOYER TO PROHIBIT A PERSON FROM CARRYING A CONCEALABLE WEAPON ON HIS PREMISE, SO AS TO PROVIDE THIS PROVISION ALSO APPLIES TO OPENLY CARRYING A WEAPON ONTO THE PREMISE AND PROVIDE AN EMPLOYER OR OWNER OF A BUSINESS MAY POST A SIGN REGARDING THE PROHIBITION OR ALLOWANCE OF CONCEALABLE WEAPONS ON HIS PREMISE; TO AMEND SECTION 23</w:t>
      </w:r>
      <w:r w:rsidRPr="00282B03">
        <w:rPr>
          <w:rFonts w:cs="Times New Roman"/>
          <w:b/>
        </w:rPr>
        <w:noBreakHyphen/>
        <w:t>31</w:t>
      </w:r>
      <w:r w:rsidRPr="00282B03">
        <w:rPr>
          <w:rFonts w:cs="Times New Roman"/>
          <w:b/>
        </w:rPr>
        <w:noBreakHyphen/>
        <w:t>235, RELATING TO THE POSTING OF SIGNS PROHIBITING THE CARRYING OF CONCEALABLE WEAPONS UPON A PREMISE, SO AS TO PROVIDE THIS PROVISION ALSO APPLIES TO OPENLY CARRYING A CONCEALED WEAPON ON A PREMISE AND PROVIDE AN EMPLOYER OR OWNER OF A BUSINESS MAY POST A SIGN REGARDING THE PROHIBITION OR ALLOWANCE OF CONCEALABLE WEAPONS ON HIS PREMISE; TO AMEND SECTION 23</w:t>
      </w:r>
      <w:r w:rsidRPr="00282B03">
        <w:rPr>
          <w:rFonts w:cs="Times New Roman"/>
          <w:b/>
        </w:rPr>
        <w:noBreakHyphen/>
        <w:t>31</w:t>
      </w:r>
      <w:r w:rsidRPr="00282B03">
        <w:rPr>
          <w:rFonts w:cs="Times New Roman"/>
          <w:b/>
        </w:rPr>
        <w:noBreakHyphen/>
        <w:t>210, RELATING TO THE DEFINITION OF CERTAIN TERMS RELATING TO THE ISSUANCE OF CONCEALED WEAPON PERMITS, SO AS TO REVISE THE DEFINITION OF THE TERM “PROOF OF TRAINING”; BY ADDING SECTION 23</w:t>
      </w:r>
      <w:r w:rsidRPr="00282B03">
        <w:rPr>
          <w:rFonts w:cs="Times New Roman"/>
          <w:b/>
        </w:rPr>
        <w:noBreakHyphen/>
        <w:t>21</w:t>
      </w:r>
      <w:r w:rsidRPr="00282B03">
        <w:rPr>
          <w:rFonts w:cs="Times New Roman"/>
          <w:b/>
        </w:rPr>
        <w:noBreakHyphen/>
        <w:t>232 SO AS TO PROVIDE A CHURCH OFFICIAL OR GOVERNING BODY MAY ALLOW A PERSON WHO HOLDS A PERMIT TO CARRY A CONCEALABLE WEAPON TO CARRY THE WEAPON CONCEALED OR OPENLY ON PREMISES OF CERTAIN SCHOOLS LEASED BY THE CHURCH FOR CHURCH SERVICES OR OFFICIAL CHURCH ACTIVITIES UNDER CERTAIN CIRCUMSTANCES; TO AMEND SECTION 23</w:t>
      </w:r>
      <w:r w:rsidRPr="00282B03">
        <w:rPr>
          <w:rFonts w:cs="Times New Roman"/>
          <w:b/>
        </w:rPr>
        <w:noBreakHyphen/>
        <w:t>31</w:t>
      </w:r>
      <w:r w:rsidRPr="00282B03">
        <w:rPr>
          <w:rFonts w:cs="Times New Roman"/>
          <w:b/>
        </w:rPr>
        <w:noBreakHyphen/>
        <w:t xml:space="preserve">520, RELATING TO A LOCAL GOVERNMENT’S AUTHORITY TO REGULATE THE DISCHARGE OR PUBLIC </w:t>
      </w:r>
      <w:r w:rsidRPr="00282B03">
        <w:rPr>
          <w:rFonts w:cs="Times New Roman"/>
          <w:b/>
        </w:rPr>
        <w:lastRenderedPageBreak/>
        <w:t>BRANDISHMENT OF FIREARMS AND THE PROHIBITION IMPOSED UPON A LOCAL GOVERNMENT TO CONFISCATE CERTAIN FIREARMS AND AMMUNITION, SO AS TO ALLOW A LOCAL GOVERNMENT TO TEMPORARILY RESTRICT OPEN CARRYING OF A FIREARM ON PUBLIC PROPERTY DURING CERTAIN EVENTS AND PROVIDE THE CIRCUMSTANCES WHEN OPEN CARRYING OF A FIREARM IS PERMITTED AT THESE EVENTS; BY ADDING SECTION 23</w:t>
      </w:r>
      <w:r w:rsidRPr="00282B03">
        <w:rPr>
          <w:rFonts w:cs="Times New Roman"/>
          <w:b/>
        </w:rPr>
        <w:noBreakHyphen/>
        <w:t>31</w:t>
      </w:r>
      <w:r w:rsidRPr="00282B03">
        <w:rPr>
          <w:rFonts w:cs="Times New Roman"/>
          <w:b/>
        </w:rPr>
        <w:noBreakHyphen/>
        <w:t>250 SO AS TO PROVIDE THE STATE AND</w:t>
      </w:r>
      <w:r>
        <w:rPr>
          <w:rFonts w:cs="Times New Roman"/>
          <w:b/>
        </w:rPr>
        <w:t xml:space="preserve"> ITS POLITICAL SUBDIVISIONS CAN</w:t>
      </w:r>
      <w:r w:rsidRPr="00282B03">
        <w:rPr>
          <w:rFonts w:cs="Times New Roman"/>
          <w:b/>
        </w:rPr>
        <w:t>NOT BE COMPELLED BY THE FEDERAL GOVERNMENT TO IMPLEMENT OR ENFORCE A LAW RELATED TO AN INDIVIDUAL’S RIGHT TO KEEP AND BEAR ARMS THAT LIMITS OR PROSCRIBES CARRYING CONCEALABLE WEAPONS UNDER CERTAIN CIRCUMSTANCES, TO DIRECT THE ATTORNEY GENERAL TO EVALUATE THESE LAWS AND ISSUE A WRITTEN OPINION OF WHETHER THE LAWS ARE PROHIBITED, AND PROVIDE ACTIONS TO BE TAKEN BY THE STATE AND ITS  POLITICAL SUBDIVISIONS IF THE ATTORNEY GENERAL DETERMINES THE LAW VIOLATES THIS PROVISION; TO AMEND SECTION 14</w:t>
      </w:r>
      <w:r w:rsidRPr="00282B03">
        <w:rPr>
          <w:rFonts w:cs="Times New Roman"/>
          <w:b/>
        </w:rPr>
        <w:noBreakHyphen/>
        <w:t>17</w:t>
      </w:r>
      <w:r w:rsidRPr="00282B03">
        <w:rPr>
          <w:rFonts w:cs="Times New Roman"/>
          <w:b/>
        </w:rPr>
        <w:noBreakHyphen/>
        <w:t>325, RELATING TO THE CLERKS OF COURT REPORTING THE DISPOSITION OF COURT OF GENERAL SESSIONS CASES TO THE STATE LAW ENFORCEMENT DIVISION, SO AS TO SHORTEN THE REPORTING PERIOD, TO PROVIDE CLERKS OF COURT ALSO SHALL REPORT THE ISSUANCE, RESCISSION, OR TERMINATION OF CERTAIN INDICTMENTS AND ORDERS, AND TO MAKE TECHNICAL CHANGES; BY ADDING SECTION 22</w:t>
      </w:r>
      <w:r w:rsidRPr="00282B03">
        <w:rPr>
          <w:rFonts w:cs="Times New Roman"/>
          <w:b/>
        </w:rPr>
        <w:noBreakHyphen/>
        <w:t>1</w:t>
      </w:r>
      <w:r w:rsidRPr="00282B03">
        <w:rPr>
          <w:rFonts w:cs="Times New Roman"/>
          <w:b/>
        </w:rPr>
        <w:noBreakHyphen/>
        <w:t>200 SO AS TO REQUIRE MAGISTRATES TO REPORT TO THE STATE LAW ENFORCEMENT DIVISION WITHIN FIVE DAYS, WEEKENDS AND HOLIDAYS EXCLUDED, THE DISPOSITION OF EACH CRIMINAL CASE AND REPORT TO THE DIVISION THE ISSUANCE, RESCISSION, OR TERMINATION OF CERTAIN ORDERS; BY ADDING SECTION 14</w:t>
      </w:r>
      <w:r w:rsidRPr="00282B03">
        <w:rPr>
          <w:rFonts w:cs="Times New Roman"/>
          <w:b/>
        </w:rPr>
        <w:noBreakHyphen/>
        <w:t>25</w:t>
      </w:r>
      <w:r w:rsidRPr="00282B03">
        <w:rPr>
          <w:rFonts w:cs="Times New Roman"/>
          <w:b/>
        </w:rPr>
        <w:noBreakHyphen/>
        <w:t>250 SO AS TO PROVIDE MUNICIPAL JUDGES SHALL REPORT THE DISPOSITION OF EACH CRIMINAL CASE TO THE STATE LAW ENFORCEMENT DIVISION WITHIN FIVE DAYS, WEEKENDS AND HOLIDAYS EXCLUDED, THE ISSUANCE, RESCISSION, OR TERMINATION OF CERTAIN ORDERS; BY ADDING SECTION 63</w:t>
      </w:r>
      <w:r w:rsidRPr="00282B03">
        <w:rPr>
          <w:rFonts w:cs="Times New Roman"/>
          <w:b/>
        </w:rPr>
        <w:noBreakHyphen/>
        <w:t>3</w:t>
      </w:r>
      <w:r w:rsidRPr="00282B03">
        <w:rPr>
          <w:rFonts w:cs="Times New Roman"/>
          <w:b/>
        </w:rPr>
        <w:noBreakHyphen/>
        <w:t xml:space="preserve">545 SO AS TO PROVIDE CLERKS OF FAMILY COURT SHALL REPORT TO THE STATE LAW ENFORCEMENT DIVISION WITHIN FIVE DAYS,  WEEKENDS </w:t>
      </w:r>
      <w:r w:rsidRPr="00282B03">
        <w:rPr>
          <w:rFonts w:cs="Times New Roman"/>
          <w:b/>
        </w:rPr>
        <w:lastRenderedPageBreak/>
        <w:t>AND HOLIDAYS EXCLUDED, THE ISSUANCE, RESCISSION, OR TERMINATION OF CERTAIN ORDERS; TO AMEND SECTION 23</w:t>
      </w:r>
      <w:r w:rsidRPr="00282B03">
        <w:rPr>
          <w:rFonts w:cs="Times New Roman"/>
          <w:b/>
        </w:rPr>
        <w:noBreakHyphen/>
        <w:t>31</w:t>
      </w:r>
      <w:r w:rsidRPr="00282B03">
        <w:rPr>
          <w:rFonts w:cs="Times New Roman"/>
          <w:b/>
        </w:rPr>
        <w:noBreakHyphen/>
        <w:t>240, RELATING TO CERTAIN PUBLIC OFFICIALS WHO ARE ALLOWED TO CARRY A CONCEALED WEAPON WHILE ON DUTY, SO AS TO DELETE THE PROVISION THAT RESTRICTS THE CARRYING OF THE WEAPON WHEN THE OFFICIAL IS CARRYING OUT THE DUTIES OF HIS OFFICE AND ADD THE ATTORNEY GENERAL AND ASSISTANT ATTORNEYS GENERAL TO THE OFFICIALS COVERED BY THIS PROVISION; AND TO AMEND SECTION 23</w:t>
      </w:r>
      <w:r w:rsidRPr="00282B03">
        <w:rPr>
          <w:rFonts w:cs="Times New Roman"/>
          <w:b/>
        </w:rPr>
        <w:noBreakHyphen/>
        <w:t>31</w:t>
      </w:r>
      <w:r w:rsidRPr="00282B03">
        <w:rPr>
          <w:rFonts w:cs="Times New Roman"/>
          <w:b/>
        </w:rPr>
        <w:noBreakHyphen/>
        <w:t>215, RELATING TO THE ISSUANCE OF CONCEALED WEAPON PERMITS, SO AS TO ELIMINATE THE PAYMENT OF AN APPLICATION FEE, AND THE STATE LAW ENFORCEMENT HANDGUN TRAINING COURSE FEE, AND PROVIDE THE DIVISION MAY NOT CHARGE A FEE FOR A  CONCEALED WEAPON PERMIT.</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5F4A24">
        <w:rPr>
          <w:rFonts w:cs="Times New Roman"/>
        </w:rPr>
        <w:tab/>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Be it enacted by the General Assembly of the State of South Carolina:</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Open Carry with Training Act</w:t>
      </w:r>
    </w:p>
    <w:p w:rsidR="009B1841" w:rsidRPr="00DE2922"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SECTION</w:t>
      </w:r>
      <w:r w:rsidRPr="005F4A24">
        <w:rPr>
          <w:rFonts w:cs="Times New Roman"/>
        </w:rPr>
        <w:tab/>
        <w:t>1.</w:t>
      </w:r>
      <w:r w:rsidRPr="005F4A24">
        <w:rPr>
          <w:rFonts w:cs="Times New Roman"/>
        </w:rPr>
        <w:tab/>
        <w:t>This act may be cited as the “Open Carry With Training Act”.</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9B1841" w:rsidRPr="00DE2922"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SECTION</w:t>
      </w:r>
      <w:r w:rsidRPr="005F4A24">
        <w:rPr>
          <w:rFonts w:cs="Times New Roman"/>
        </w:rPr>
        <w:tab/>
        <w:t>2.</w:t>
      </w:r>
      <w:r w:rsidRPr="005F4A24">
        <w:rPr>
          <w:rFonts w:cs="Times New Roman"/>
        </w:rPr>
        <w:tab/>
        <w:t>Section 23</w:t>
      </w:r>
      <w:r>
        <w:rPr>
          <w:rFonts w:cs="Times New Roman"/>
        </w:rPr>
        <w:noBreakHyphen/>
      </w:r>
      <w:r w:rsidRPr="005F4A24">
        <w:rPr>
          <w:rFonts w:cs="Times New Roman"/>
        </w:rPr>
        <w:t>31</w:t>
      </w:r>
      <w:r>
        <w:rPr>
          <w:rFonts w:cs="Times New Roman"/>
        </w:rPr>
        <w:noBreakHyphen/>
      </w:r>
      <w:r w:rsidRPr="005F4A24">
        <w:rPr>
          <w:rFonts w:cs="Times New Roman"/>
        </w:rPr>
        <w:t>210(5) of the 1976 Code is amended to read: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“(5)</w:t>
      </w:r>
      <w:r w:rsidRPr="005F4A24">
        <w:rPr>
          <w:rFonts w:cs="Times New Roman"/>
        </w:rPr>
        <w:tab/>
      </w:r>
      <w:r>
        <w:rPr>
          <w:rFonts w:cs="Times New Roman"/>
        </w:rPr>
        <w:t>‘</w:t>
      </w:r>
      <w:r w:rsidRPr="005F4A24">
        <w:rPr>
          <w:rFonts w:cs="Times New Roman"/>
        </w:rPr>
        <w:t>Concealable weapon</w:t>
      </w:r>
      <w:r>
        <w:rPr>
          <w:rFonts w:cs="Times New Roman"/>
        </w:rPr>
        <w:t>’</w:t>
      </w:r>
      <w:r w:rsidRPr="005F4A24">
        <w:rPr>
          <w:rFonts w:cs="Times New Roman"/>
        </w:rPr>
        <w:t xml:space="preserve"> means a firearm having a length of less than twelve inches measured along its greatest dimension that may be carried openly on one</w:t>
      </w:r>
      <w:r>
        <w:rPr>
          <w:rFonts w:cs="Times New Roman"/>
        </w:rPr>
        <w:t>’</w:t>
      </w:r>
      <w:r w:rsidRPr="005F4A24">
        <w:rPr>
          <w:rFonts w:cs="Times New Roman"/>
        </w:rPr>
        <w:t>s person or in a manner that is hidden from public view in normal wear of clothing except when needed for self</w:t>
      </w:r>
      <w:r>
        <w:rPr>
          <w:rFonts w:cs="Times New Roman"/>
        </w:rPr>
        <w:t xml:space="preserve"> </w:t>
      </w:r>
      <w:r w:rsidRPr="005F4A24">
        <w:rPr>
          <w:rFonts w:cs="Times New Roman"/>
        </w:rPr>
        <w:t>defense, defense of others, and the protection of real or personal property.”</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Open carrying of weapons</w:t>
      </w:r>
    </w:p>
    <w:p w:rsidR="009B1841" w:rsidRPr="00DE2922"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SECTION</w:t>
      </w:r>
      <w:r w:rsidRPr="005F4A24">
        <w:rPr>
          <w:rFonts w:cs="Times New Roman"/>
        </w:rPr>
        <w:tab/>
        <w:t>3.</w:t>
      </w:r>
      <w:r w:rsidRPr="005F4A24">
        <w:rPr>
          <w:rFonts w:cs="Times New Roman"/>
        </w:rPr>
        <w:tab/>
        <w:t>Section 16</w:t>
      </w:r>
      <w:r>
        <w:rPr>
          <w:rFonts w:cs="Times New Roman"/>
        </w:rPr>
        <w:noBreakHyphen/>
      </w:r>
      <w:r w:rsidRPr="005F4A24">
        <w:rPr>
          <w:rFonts w:cs="Times New Roman"/>
        </w:rPr>
        <w:t>23</w:t>
      </w:r>
      <w:r>
        <w:rPr>
          <w:rFonts w:cs="Times New Roman"/>
        </w:rPr>
        <w:noBreakHyphen/>
      </w:r>
      <w:r w:rsidRPr="005F4A24">
        <w:rPr>
          <w:rFonts w:cs="Times New Roman"/>
        </w:rPr>
        <w:t>20(9) of the 1976 Code is amended to read: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“(9)</w:t>
      </w:r>
      <w:r w:rsidRPr="005F4A24">
        <w:rPr>
          <w:rFonts w:cs="Times New Roman"/>
        </w:rPr>
        <w:tab/>
        <w:t>a person in a vehicle if the handgun is: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(a)</w:t>
      </w:r>
      <w:r w:rsidRPr="005F4A24">
        <w:rPr>
          <w:rFonts w:cs="Times New Roman"/>
        </w:rPr>
        <w:tab/>
        <w:t xml:space="preserve">secured in a closed glove compartment, closed console, closed trunk, or in a closed container secured by an integral fastener and transported in the luggage compartment of the vehicle; however, this </w:t>
      </w:r>
      <w:r w:rsidRPr="005F4A24">
        <w:rPr>
          <w:rFonts w:cs="Times New Roman"/>
        </w:rPr>
        <w:lastRenderedPageBreak/>
        <w:t>item is not violated if the glove compartment, console, or trunk is opened in the presence of a law enforcement officer for the sole purpose of retrieving a driver</w:t>
      </w:r>
      <w:r>
        <w:rPr>
          <w:rFonts w:cs="Times New Roman"/>
        </w:rPr>
        <w:t>’</w:t>
      </w:r>
      <w:r w:rsidRPr="005F4A24">
        <w:rPr>
          <w:rFonts w:cs="Times New Roman"/>
        </w:rPr>
        <w:t>s license, registration, or proof of insurance. If the person has been issued a concealed weapon permit pursuant to Article 4, Chapter 31, Title 23, then the person also may secure his weapon under a seat in a vehicle, or in any open or closed storage compartment within the vehicle</w:t>
      </w:r>
      <w:r>
        <w:rPr>
          <w:rFonts w:cs="Times New Roman"/>
        </w:rPr>
        <w:t>’</w:t>
      </w:r>
      <w:r w:rsidRPr="005F4A24">
        <w:rPr>
          <w:rFonts w:cs="Times New Roman"/>
        </w:rPr>
        <w:t>s passenger compartment; or</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(b)</w:t>
      </w:r>
      <w:r w:rsidRPr="005F4A24">
        <w:rPr>
          <w:rFonts w:cs="Times New Roman"/>
        </w:rPr>
        <w:tab/>
        <w:t>carried openly or concealed on or about his person, and he has a valid concealed weapons permit pursuant to the provisions of Article 4, Chapter 31, Title 23;”</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Open carrying of weapons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SECTION</w:t>
      </w:r>
      <w:r w:rsidRPr="005F4A24">
        <w:rPr>
          <w:rFonts w:cs="Times New Roman"/>
        </w:rPr>
        <w:tab/>
        <w:t>4.</w:t>
      </w:r>
      <w:r w:rsidRPr="005F4A24">
        <w:rPr>
          <w:rFonts w:cs="Times New Roman"/>
        </w:rPr>
        <w:tab/>
        <w:t>Section 23</w:t>
      </w:r>
      <w:r>
        <w:rPr>
          <w:rFonts w:cs="Times New Roman"/>
        </w:rPr>
        <w:noBreakHyphen/>
      </w:r>
      <w:r w:rsidRPr="005F4A24">
        <w:rPr>
          <w:rFonts w:cs="Times New Roman"/>
        </w:rPr>
        <w:t>31</w:t>
      </w:r>
      <w:r>
        <w:rPr>
          <w:rFonts w:cs="Times New Roman"/>
        </w:rPr>
        <w:noBreakHyphen/>
      </w:r>
      <w:r w:rsidRPr="005F4A24">
        <w:rPr>
          <w:rFonts w:cs="Times New Roman"/>
        </w:rPr>
        <w:t>220 of the 1976 Code is amended to read: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“Section 23</w:t>
      </w:r>
      <w:r>
        <w:rPr>
          <w:rFonts w:cs="Times New Roman"/>
        </w:rPr>
        <w:noBreakHyphen/>
      </w:r>
      <w:r w:rsidRPr="005F4A24">
        <w:rPr>
          <w:rFonts w:cs="Times New Roman"/>
        </w:rPr>
        <w:t>31</w:t>
      </w:r>
      <w:r>
        <w:rPr>
          <w:rFonts w:cs="Times New Roman"/>
        </w:rPr>
        <w:noBreakHyphen/>
      </w:r>
      <w:r w:rsidRPr="005F4A24">
        <w:rPr>
          <w:rFonts w:cs="Times New Roman"/>
        </w:rPr>
        <w:t>220.</w:t>
      </w:r>
      <w:r w:rsidRPr="005F4A24">
        <w:rPr>
          <w:rFonts w:cs="Times New Roman"/>
        </w:rPr>
        <w:tab/>
        <w:t>(A)</w:t>
      </w:r>
      <w:r w:rsidRPr="005F4A24">
        <w:rPr>
          <w:rFonts w:cs="Times New Roman"/>
        </w:rPr>
        <w:tab/>
      </w:r>
      <w:r w:rsidRPr="005F4A24">
        <w:rPr>
          <w:rFonts w:cs="Times New Roman"/>
          <w:lang w:val="en-PH"/>
        </w:rPr>
        <w:t>Nothing contained in this article shall in any way be construed to limit, diminish, or otherwise infringe upon:</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(1)</w:t>
      </w:r>
      <w:r w:rsidRPr="005F4A24">
        <w:rPr>
          <w:rFonts w:cs="Times New Roman"/>
          <w:lang w:val="en-PH"/>
        </w:rPr>
        <w:tab/>
        <w:t>the right of a public or private employer to prohibit a person who is licensed under this article from carrying a concealable weapon, whether concealed or openly carried, upon the premises of the business or work place or while using any machinery, vehicle, or equipment owned or operated by the business;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(2)</w:t>
      </w:r>
      <w:r w:rsidRPr="005F4A24">
        <w:rPr>
          <w:rFonts w:cs="Times New Roman"/>
          <w:lang w:val="en-PH"/>
        </w:rPr>
        <w:tab/>
        <w:t>the right of a private property owner or person in legal possession or control to allow or prohibit the carrying of a concealable weapon, whether concealed or openly carried, upon his premises.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t>(B)</w:t>
      </w:r>
      <w:r w:rsidRPr="005F4A24">
        <w:rPr>
          <w:rFonts w:cs="Times New Roman"/>
          <w:lang w:val="en-PH"/>
        </w:rPr>
        <w:tab/>
        <w:t xml:space="preserve">The posting by the employer, owner, or person in legal possession or control of a sign stating </w:t>
      </w:r>
      <w:r>
        <w:rPr>
          <w:rFonts w:cs="Times New Roman"/>
          <w:lang w:val="en-PH"/>
        </w:rPr>
        <w:t>‘</w:t>
      </w:r>
      <w:r w:rsidRPr="005F4A24">
        <w:rPr>
          <w:rFonts w:cs="Times New Roman"/>
          <w:lang w:val="en-PH"/>
        </w:rPr>
        <w:t>NO CONCEALABLE WEAPONS ALLOWED</w:t>
      </w:r>
      <w:r>
        <w:rPr>
          <w:rFonts w:cs="Times New Roman"/>
          <w:lang w:val="en-PH"/>
        </w:rPr>
        <w:t>’</w:t>
      </w:r>
      <w:r w:rsidRPr="005F4A24">
        <w:rPr>
          <w:rFonts w:cs="Times New Roman"/>
          <w:lang w:val="en-PH"/>
        </w:rPr>
        <w:t xml:space="preserve"> shall constitute notice to a person holding a permit issued pursuant to this article that the employer, owner, or person in legal possession or control requests that concealable weapons, whether concealed or openly carried, not be brought upon the premises or into the work place. A person who brings a concealable weapon, whether concealed or openly carried, onto the premises or work place in violation of the provisions of this paragraph may be charged with a violation of Section 16</w:t>
      </w:r>
      <w:r>
        <w:rPr>
          <w:rFonts w:cs="Times New Roman"/>
          <w:lang w:val="en-PH"/>
        </w:rPr>
        <w:noBreakHyphen/>
      </w:r>
      <w:r w:rsidRPr="005F4A24">
        <w:rPr>
          <w:rFonts w:cs="Times New Roman"/>
          <w:lang w:val="en-PH"/>
        </w:rPr>
        <w:t>11</w:t>
      </w:r>
      <w:r>
        <w:rPr>
          <w:rFonts w:cs="Times New Roman"/>
          <w:lang w:val="en-PH"/>
        </w:rPr>
        <w:noBreakHyphen/>
      </w:r>
      <w:r w:rsidRPr="005F4A24">
        <w:rPr>
          <w:rFonts w:cs="Times New Roman"/>
          <w:lang w:val="en-PH"/>
        </w:rPr>
        <w:t>620. In addition to the penalties provided in Section 16</w:t>
      </w:r>
      <w:r>
        <w:rPr>
          <w:rFonts w:cs="Times New Roman"/>
          <w:lang w:val="en-PH"/>
        </w:rPr>
        <w:noBreakHyphen/>
      </w:r>
      <w:r w:rsidRPr="005F4A24">
        <w:rPr>
          <w:rFonts w:cs="Times New Roman"/>
          <w:lang w:val="en-PH"/>
        </w:rPr>
        <w:t>11</w:t>
      </w:r>
      <w:r>
        <w:rPr>
          <w:rFonts w:cs="Times New Roman"/>
          <w:lang w:val="en-PH"/>
        </w:rPr>
        <w:noBreakHyphen/>
      </w:r>
      <w:r w:rsidRPr="005F4A24">
        <w:rPr>
          <w:rFonts w:cs="Times New Roman"/>
          <w:lang w:val="en-PH"/>
        </w:rPr>
        <w:t>620, a person convicted of a second or subsequent violation of the provisions of this paragraph must have his permit revoked for a period of one year. The prohibition contained in this section does not apply to persons specified in Section 16</w:t>
      </w:r>
      <w:r>
        <w:rPr>
          <w:rFonts w:cs="Times New Roman"/>
          <w:lang w:val="en-PH"/>
        </w:rPr>
        <w:noBreakHyphen/>
      </w:r>
      <w:r w:rsidRPr="005F4A24">
        <w:rPr>
          <w:rFonts w:cs="Times New Roman"/>
          <w:lang w:val="en-PH"/>
        </w:rPr>
        <w:t>23</w:t>
      </w:r>
      <w:r>
        <w:rPr>
          <w:rFonts w:cs="Times New Roman"/>
          <w:lang w:val="en-PH"/>
        </w:rPr>
        <w:noBreakHyphen/>
      </w:r>
      <w:r w:rsidRPr="005F4A24">
        <w:rPr>
          <w:rFonts w:cs="Times New Roman"/>
          <w:lang w:val="en-PH"/>
        </w:rPr>
        <w:t>20, item (1).</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(C)</w:t>
      </w:r>
      <w:r w:rsidRPr="005F4A24">
        <w:rPr>
          <w:rFonts w:cs="Times New Roman"/>
        </w:rPr>
        <w:tab/>
        <w:t xml:space="preserve">In addition to the provisions of subsection (B), </w:t>
      </w:r>
      <w:r w:rsidRPr="005F4A24">
        <w:rPr>
          <w:rFonts w:cs="Times New Roman"/>
          <w:lang w:val="en-PH"/>
        </w:rPr>
        <w:t xml:space="preserve">a public or private employer or the owner of a business may post a sign regarding the prohibition or allowance on those premises of concealable weapons, </w:t>
      </w:r>
      <w:r w:rsidRPr="005F4A24">
        <w:rPr>
          <w:rFonts w:cs="Times New Roman"/>
          <w:lang w:val="en-PH"/>
        </w:rPr>
        <w:lastRenderedPageBreak/>
        <w:t>whether concealed or openly carried, which may be unique to that business.</w:t>
      </w:r>
      <w:r w:rsidRPr="005F4A24">
        <w:rPr>
          <w:rFonts w:cs="Times New Roman"/>
        </w:rPr>
        <w:t>”</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Open carrying of weapons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SECTION</w:t>
      </w:r>
      <w:r w:rsidRPr="005F4A24">
        <w:rPr>
          <w:rFonts w:cs="Times New Roman"/>
          <w:lang w:val="en-PH"/>
        </w:rPr>
        <w:tab/>
        <w:t>5.</w:t>
      </w:r>
      <w:r w:rsidRPr="005F4A24">
        <w:rPr>
          <w:rFonts w:cs="Times New Roman"/>
          <w:lang w:val="en-PH"/>
        </w:rPr>
        <w:tab/>
        <w:t>Section 23</w:t>
      </w:r>
      <w:r>
        <w:rPr>
          <w:rFonts w:cs="Times New Roman"/>
          <w:lang w:val="en-PH"/>
        </w:rPr>
        <w:noBreakHyphen/>
      </w:r>
      <w:r w:rsidRPr="005F4A24">
        <w:rPr>
          <w:rFonts w:cs="Times New Roman"/>
          <w:lang w:val="en-PH"/>
        </w:rPr>
        <w:t>31</w:t>
      </w:r>
      <w:r>
        <w:rPr>
          <w:rFonts w:cs="Times New Roman"/>
          <w:lang w:val="en-PH"/>
        </w:rPr>
        <w:noBreakHyphen/>
      </w:r>
      <w:r w:rsidRPr="005F4A24">
        <w:rPr>
          <w:rFonts w:cs="Times New Roman"/>
          <w:lang w:val="en-PH"/>
        </w:rPr>
        <w:t>235 of the 1976 Code is amended to read: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t>“Section 23</w:t>
      </w:r>
      <w:r>
        <w:rPr>
          <w:rFonts w:cs="Times New Roman"/>
          <w:lang w:val="en-PH"/>
        </w:rPr>
        <w:noBreakHyphen/>
      </w:r>
      <w:r w:rsidRPr="005F4A24">
        <w:rPr>
          <w:rFonts w:cs="Times New Roman"/>
          <w:lang w:val="en-PH"/>
        </w:rPr>
        <w:t>31</w:t>
      </w:r>
      <w:r>
        <w:rPr>
          <w:rFonts w:cs="Times New Roman"/>
          <w:lang w:val="en-PH"/>
        </w:rPr>
        <w:noBreakHyphen/>
      </w:r>
      <w:r w:rsidRPr="005F4A24">
        <w:rPr>
          <w:rFonts w:cs="Times New Roman"/>
          <w:lang w:val="en-PH"/>
        </w:rPr>
        <w:t>235.</w:t>
      </w:r>
      <w:r w:rsidRPr="005F4A24">
        <w:rPr>
          <w:rFonts w:cs="Times New Roman"/>
          <w:lang w:val="en-PH"/>
        </w:rPr>
        <w:tab/>
        <w:t>(A)</w:t>
      </w:r>
      <w:r w:rsidRPr="005F4A24">
        <w:rPr>
          <w:rFonts w:cs="Times New Roman"/>
          <w:lang w:val="en-PH"/>
        </w:rPr>
        <w:tab/>
        <w:t>Notwithstanding any other provision of this article, any requirement of or allowance for the posting of signs prohibiting the carrying of a concealable weapon, whether concealed or openly carried, upon any premises shall only be satisfied by a sign expressing the prohibition in both written language interdict and universal sign language.</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Pr>
          <w:rFonts w:cs="Times New Roman"/>
          <w:lang w:val="en-PH"/>
        </w:rPr>
        <w:tab/>
        <w:t>(B)</w:t>
      </w:r>
      <w:r>
        <w:rPr>
          <w:rFonts w:cs="Times New Roman"/>
          <w:lang w:val="en-PH"/>
        </w:rPr>
        <w:tab/>
      </w:r>
      <w:r w:rsidRPr="005F4A24">
        <w:rPr>
          <w:rFonts w:cs="Times New Roman"/>
          <w:lang w:val="en-PH"/>
        </w:rPr>
        <w:t>All signs must be posted at each entrance into a building where a concealable weapon permit holder is prohibited from carrying a concealable weapon, whether concealed or openly carried, and must be:</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(1)</w:t>
      </w:r>
      <w:r w:rsidRPr="005F4A24">
        <w:rPr>
          <w:rFonts w:cs="Times New Roman"/>
          <w:lang w:val="en-PH"/>
        </w:rPr>
        <w:tab/>
        <w:t>clearly visible from outside the building;</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(2)</w:t>
      </w:r>
      <w:r w:rsidRPr="005F4A24">
        <w:rPr>
          <w:rFonts w:cs="Times New Roman"/>
          <w:lang w:val="en-PH"/>
        </w:rPr>
        <w:tab/>
        <w:t>eight inches wide by twelve inches tall in size;</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(3)</w:t>
      </w:r>
      <w:r w:rsidRPr="005F4A24">
        <w:rPr>
          <w:rFonts w:cs="Times New Roman"/>
          <w:lang w:val="en-PH"/>
        </w:rPr>
        <w:tab/>
        <w:t xml:space="preserve">contain the words </w:t>
      </w:r>
      <w:r>
        <w:rPr>
          <w:rFonts w:cs="Times New Roman"/>
          <w:lang w:val="en-PH"/>
        </w:rPr>
        <w:t>‘</w:t>
      </w:r>
      <w:r w:rsidRPr="005F4A24">
        <w:rPr>
          <w:rFonts w:cs="Times New Roman"/>
          <w:lang w:val="en-PH"/>
        </w:rPr>
        <w:t>NO CONCEALABLE WEAPONS ALLOWED</w:t>
      </w:r>
      <w:r>
        <w:rPr>
          <w:rFonts w:cs="Times New Roman"/>
          <w:lang w:val="en-PH"/>
        </w:rPr>
        <w:t>’</w:t>
      </w:r>
      <w:r w:rsidRPr="005F4A24">
        <w:rPr>
          <w:rFonts w:cs="Times New Roman"/>
          <w:lang w:val="en-PH"/>
        </w:rPr>
        <w:t xml:space="preserve"> in black one</w:t>
      </w:r>
      <w:r>
        <w:rPr>
          <w:rFonts w:cs="Times New Roman"/>
          <w:lang w:val="en-PH"/>
        </w:rPr>
        <w:noBreakHyphen/>
      </w:r>
      <w:r w:rsidRPr="005F4A24">
        <w:rPr>
          <w:rFonts w:cs="Times New Roman"/>
          <w:lang w:val="en-PH"/>
        </w:rPr>
        <w:t>inch tall uppercase type at the bottom of the sign and centered between the lateral edges of the sign;</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(4)</w:t>
      </w:r>
      <w:r w:rsidRPr="005F4A24">
        <w:rPr>
          <w:rFonts w:cs="Times New Roman"/>
          <w:lang w:val="en-PH"/>
        </w:rPr>
        <w:tab/>
        <w:t>contain a black silhouette of a handgun inside a circle seven inches in diameter with a diagonal line that runs from the lower left to the upper right at a forty</w:t>
      </w:r>
      <w:r>
        <w:rPr>
          <w:rFonts w:cs="Times New Roman"/>
          <w:lang w:val="en-PH"/>
        </w:rPr>
        <w:noBreakHyphen/>
      </w:r>
      <w:r w:rsidRPr="005F4A24">
        <w:rPr>
          <w:rFonts w:cs="Times New Roman"/>
          <w:lang w:val="en-PH"/>
        </w:rPr>
        <w:t>five degree angle from the horizontal;</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(5)</w:t>
      </w:r>
      <w:r w:rsidRPr="005F4A24">
        <w:rPr>
          <w:rFonts w:cs="Times New Roman"/>
          <w:lang w:val="en-PH"/>
        </w:rPr>
        <w:tab/>
        <w:t>a diameter of a circle; and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(6)</w:t>
      </w:r>
      <w:r w:rsidRPr="005F4A24">
        <w:rPr>
          <w:rFonts w:cs="Times New Roman"/>
          <w:lang w:val="en-PH"/>
        </w:rPr>
        <w:tab/>
        <w:t>placed not less than forty inches and not more than sixty inches from the bottom of the building</w:t>
      </w:r>
      <w:r>
        <w:rPr>
          <w:rFonts w:cs="Times New Roman"/>
          <w:lang w:val="en-PH"/>
        </w:rPr>
        <w:t>’</w:t>
      </w:r>
      <w:r w:rsidRPr="005F4A24">
        <w:rPr>
          <w:rFonts w:cs="Times New Roman"/>
          <w:lang w:val="en-PH"/>
        </w:rPr>
        <w:t>s entrance door.</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t>(C)</w:t>
      </w:r>
      <w:r w:rsidRPr="005F4A24">
        <w:rPr>
          <w:rFonts w:cs="Times New Roman"/>
          <w:lang w:val="en-PH"/>
        </w:rPr>
        <w:tab/>
        <w:t>If the premises where concealable weapons are prohibited does not have doors, then the signs contained in subsection (A) must be:</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(1)</w:t>
      </w:r>
      <w:r w:rsidRPr="005F4A24">
        <w:rPr>
          <w:rFonts w:cs="Times New Roman"/>
          <w:lang w:val="en-PH"/>
        </w:rPr>
        <w:tab/>
        <w:t>thirty</w:t>
      </w:r>
      <w:r>
        <w:rPr>
          <w:rFonts w:cs="Times New Roman"/>
          <w:lang w:val="en-PH"/>
        </w:rPr>
        <w:noBreakHyphen/>
      </w:r>
      <w:r w:rsidRPr="005F4A24">
        <w:rPr>
          <w:rFonts w:cs="Times New Roman"/>
          <w:lang w:val="en-PH"/>
        </w:rPr>
        <w:t>six inches wide by forty</w:t>
      </w:r>
      <w:r>
        <w:rPr>
          <w:rFonts w:cs="Times New Roman"/>
          <w:lang w:val="en-PH"/>
        </w:rPr>
        <w:noBreakHyphen/>
      </w:r>
      <w:r w:rsidRPr="005F4A24">
        <w:rPr>
          <w:rFonts w:cs="Times New Roman"/>
          <w:lang w:val="en-PH"/>
        </w:rPr>
        <w:t>eight inches tall in size;</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(2)</w:t>
      </w:r>
      <w:r w:rsidRPr="005F4A24">
        <w:rPr>
          <w:rFonts w:cs="Times New Roman"/>
          <w:lang w:val="en-PH"/>
        </w:rPr>
        <w:tab/>
        <w:t xml:space="preserve">contain the words </w:t>
      </w:r>
      <w:r>
        <w:rPr>
          <w:rFonts w:cs="Times New Roman"/>
          <w:lang w:val="en-PH"/>
        </w:rPr>
        <w:t>‘</w:t>
      </w:r>
      <w:r w:rsidRPr="005F4A24">
        <w:rPr>
          <w:rFonts w:cs="Times New Roman"/>
          <w:lang w:val="en-PH"/>
        </w:rPr>
        <w:t>NO CONCEALABLE WEAPONS ALLOWED</w:t>
      </w:r>
      <w:r>
        <w:rPr>
          <w:rFonts w:cs="Times New Roman"/>
          <w:lang w:val="en-PH"/>
        </w:rPr>
        <w:t>’</w:t>
      </w:r>
      <w:r w:rsidRPr="005F4A24">
        <w:rPr>
          <w:rFonts w:cs="Times New Roman"/>
          <w:lang w:val="en-PH"/>
        </w:rPr>
        <w:t xml:space="preserve"> in black three</w:t>
      </w:r>
      <w:r>
        <w:rPr>
          <w:rFonts w:cs="Times New Roman"/>
          <w:lang w:val="en-PH"/>
        </w:rPr>
        <w:noBreakHyphen/>
      </w:r>
      <w:r w:rsidRPr="005F4A24">
        <w:rPr>
          <w:rFonts w:cs="Times New Roman"/>
          <w:lang w:val="en-PH"/>
        </w:rPr>
        <w:t>inch tall uppercase type at the bottom of the sign and centered between the lateral edges of the sign;</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(3)</w:t>
      </w:r>
      <w:r w:rsidRPr="005F4A24">
        <w:rPr>
          <w:rFonts w:cs="Times New Roman"/>
          <w:lang w:val="en-PH"/>
        </w:rPr>
        <w:tab/>
        <w:t>contain a black silhouette of a handgun inside a circle thirty</w:t>
      </w:r>
      <w:r>
        <w:rPr>
          <w:rFonts w:cs="Times New Roman"/>
          <w:lang w:val="en-PH"/>
        </w:rPr>
        <w:noBreakHyphen/>
      </w:r>
      <w:r w:rsidRPr="005F4A24">
        <w:rPr>
          <w:rFonts w:cs="Times New Roman"/>
          <w:lang w:val="en-PH"/>
        </w:rPr>
        <w:t>four inches in diameter with a diagonal line that is two inches wide and runs from the lower left to the upper right at a forty</w:t>
      </w:r>
      <w:r>
        <w:rPr>
          <w:rFonts w:cs="Times New Roman"/>
          <w:lang w:val="en-PH"/>
        </w:rPr>
        <w:noBreakHyphen/>
      </w:r>
      <w:r w:rsidRPr="005F4A24">
        <w:rPr>
          <w:rFonts w:cs="Times New Roman"/>
          <w:lang w:val="en-PH"/>
        </w:rPr>
        <w:t>five degree angle from the horizontal and must be a diameter of a circle whose circumference is two</w:t>
      </w:r>
      <w:r>
        <w:rPr>
          <w:rFonts w:cs="Times New Roman"/>
          <w:lang w:val="en-PH"/>
        </w:rPr>
        <w:t>-</w:t>
      </w:r>
      <w:r w:rsidRPr="005F4A24">
        <w:rPr>
          <w:rFonts w:cs="Times New Roman"/>
          <w:lang w:val="en-PH"/>
        </w:rPr>
        <w:t>inches wide;</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(4)</w:t>
      </w:r>
      <w:r w:rsidRPr="005F4A24">
        <w:rPr>
          <w:rFonts w:cs="Times New Roman"/>
          <w:lang w:val="en-PH"/>
        </w:rPr>
        <w:tab/>
        <w:t>placed not less than forty inches and not more than ninety</w:t>
      </w:r>
      <w:r>
        <w:rPr>
          <w:rFonts w:cs="Times New Roman"/>
          <w:lang w:val="en-PH"/>
        </w:rPr>
        <w:noBreakHyphen/>
      </w:r>
      <w:r w:rsidRPr="005F4A24">
        <w:rPr>
          <w:rFonts w:cs="Times New Roman"/>
          <w:lang w:val="en-PH"/>
        </w:rPr>
        <w:t>six inches above the ground;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(5)</w:t>
      </w:r>
      <w:r w:rsidRPr="005F4A24">
        <w:rPr>
          <w:rFonts w:cs="Times New Roman"/>
          <w:lang w:val="en-PH"/>
        </w:rPr>
        <w:tab/>
        <w:t>posted in sufficient quantities to be clearly visible from any point of entry onto the premises.</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lastRenderedPageBreak/>
        <w:tab/>
        <w:t>(D)</w:t>
      </w:r>
      <w:r w:rsidRPr="005F4A24">
        <w:rPr>
          <w:rFonts w:cs="Times New Roman"/>
          <w:lang w:val="en-PH"/>
        </w:rPr>
        <w:tab/>
        <w:t>Nothing in this section prevents a public or private employer or owner of a business from posting a sign regarding the prohibition or allowance on those premises of concealable weapons, whether concealed or openly carried, which may be unique to that business.”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Handgun education course</w:t>
      </w:r>
    </w:p>
    <w:p w:rsidR="009B1841" w:rsidRPr="00DE2922"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SECTION</w:t>
      </w:r>
      <w:r w:rsidRPr="005F4A24">
        <w:rPr>
          <w:rFonts w:cs="Times New Roman"/>
        </w:rPr>
        <w:tab/>
        <w:t>6.</w:t>
      </w:r>
      <w:r w:rsidRPr="005F4A24">
        <w:rPr>
          <w:rFonts w:cs="Times New Roman"/>
        </w:rPr>
        <w:tab/>
        <w:t>Section 23</w:t>
      </w:r>
      <w:r>
        <w:rPr>
          <w:rFonts w:cs="Times New Roman"/>
        </w:rPr>
        <w:noBreakHyphen/>
      </w:r>
      <w:r w:rsidRPr="005F4A24">
        <w:rPr>
          <w:rFonts w:cs="Times New Roman"/>
        </w:rPr>
        <w:t>31</w:t>
      </w:r>
      <w:r>
        <w:rPr>
          <w:rFonts w:cs="Times New Roman"/>
        </w:rPr>
        <w:noBreakHyphen/>
      </w:r>
      <w:r w:rsidRPr="005F4A24">
        <w:rPr>
          <w:rFonts w:cs="Times New Roman"/>
        </w:rPr>
        <w:t>210(4)(a) of the 1976 Code is amended to read: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t>“(a)</w:t>
      </w:r>
      <w:r w:rsidRPr="005F4A24">
        <w:rPr>
          <w:rFonts w:cs="Times New Roman"/>
          <w:lang w:val="en-PH"/>
        </w:rPr>
        <w:tab/>
        <w:t>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r>
      <w:r w:rsidRPr="005F4A24">
        <w:rPr>
          <w:rFonts w:cs="Times New Roman"/>
          <w:lang w:val="en-PH"/>
        </w:rPr>
        <w:tab/>
        <w:t>(i)</w:t>
      </w:r>
      <w:r w:rsidRPr="005F4A24">
        <w:rPr>
          <w:rFonts w:cs="Times New Roman"/>
          <w:lang w:val="en-PH"/>
        </w:rPr>
        <w:tab/>
      </w:r>
      <w:r w:rsidRPr="005F4A24">
        <w:rPr>
          <w:rFonts w:cs="Times New Roman"/>
          <w:lang w:val="en-PH"/>
        </w:rPr>
        <w:tab/>
        <w:t>information on the statutory and case law of this State relating to handguns and to the use of deadly force;</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r>
      <w:r w:rsidRPr="005F4A24">
        <w:rPr>
          <w:rFonts w:cs="Times New Roman"/>
          <w:lang w:val="en-PH"/>
        </w:rPr>
        <w:tab/>
        <w:t>(ii)</w:t>
      </w:r>
      <w:r w:rsidRPr="005F4A24">
        <w:rPr>
          <w:rFonts w:cs="Times New Roman"/>
          <w:lang w:val="en-PH"/>
        </w:rPr>
        <w:tab/>
        <w:t>information on handgun use and safety;</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r>
      <w:r w:rsidRPr="005F4A24">
        <w:rPr>
          <w:rFonts w:cs="Times New Roman"/>
          <w:lang w:val="en-PH"/>
        </w:rPr>
        <w:tab/>
        <w:t>(iii)</w:t>
      </w:r>
      <w:r w:rsidRPr="005F4A24">
        <w:rPr>
          <w:rFonts w:cs="Times New Roman"/>
          <w:lang w:val="en-PH"/>
        </w:rPr>
        <w:tab/>
        <w:t xml:space="preserve">information on the proper storage practice for handguns with an emphasis on storage practices that reduces the possibility of accidental injury to a child;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snapToGrid w:val="0"/>
        </w:rPr>
        <w:tab/>
      </w:r>
      <w:r w:rsidRPr="005F4A24">
        <w:rPr>
          <w:rFonts w:cs="Times New Roman"/>
          <w:lang w:val="en-PH"/>
        </w:rPr>
        <w:tab/>
      </w:r>
      <w:r w:rsidRPr="005F4A24">
        <w:rPr>
          <w:rFonts w:cs="Times New Roman"/>
          <w:lang w:val="en-PH"/>
        </w:rPr>
        <w:tab/>
        <w:t>(iv)</w:t>
      </w:r>
      <w:r w:rsidRPr="005F4A24">
        <w:rPr>
          <w:rFonts w:cs="Times New Roman"/>
          <w:lang w:val="en-PH"/>
        </w:rPr>
        <w:tab/>
        <w:t>the actual firing of the handgun in the presence of the instructor, provided that a minimum of twenty</w:t>
      </w:r>
      <w:r>
        <w:rPr>
          <w:rFonts w:cs="Times New Roman"/>
          <w:lang w:val="en-PH"/>
        </w:rPr>
        <w:noBreakHyphen/>
      </w:r>
      <w:r w:rsidRPr="005F4A24">
        <w:rPr>
          <w:rFonts w:cs="Times New Roman"/>
          <w:lang w:val="en-PH"/>
        </w:rPr>
        <w:t>five rounds must be fired;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r>
      <w:r w:rsidRPr="005F4A24">
        <w:rPr>
          <w:rFonts w:cs="Times New Roman"/>
          <w:lang w:val="en-PH"/>
        </w:rPr>
        <w:tab/>
        <w:t>(v)</w:t>
      </w:r>
      <w:r w:rsidRPr="005F4A24">
        <w:rPr>
          <w:rFonts w:cs="Times New Roman"/>
          <w:lang w:val="en-PH"/>
        </w:rPr>
        <w:tab/>
        <w:t>properly securing a firearm in a holster;</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F4A24">
        <w:rPr>
          <w:rFonts w:cs="Times New Roman"/>
          <w:lang w:val="en-PH"/>
        </w:rPr>
        <w:tab/>
      </w:r>
      <w:r w:rsidRPr="005F4A24">
        <w:rPr>
          <w:rFonts w:cs="Times New Roman"/>
          <w:lang w:val="en-PH"/>
        </w:rPr>
        <w:tab/>
      </w:r>
      <w:r w:rsidRPr="005F4A24">
        <w:rPr>
          <w:rFonts w:cs="Times New Roman"/>
          <w:lang w:val="en-PH"/>
        </w:rPr>
        <w:tab/>
        <w:t>(vi)</w:t>
      </w:r>
      <w:r w:rsidRPr="005F4A24">
        <w:rPr>
          <w:rFonts w:cs="Times New Roman"/>
          <w:lang w:val="en-PH"/>
        </w:rPr>
        <w:tab/>
      </w:r>
      <w:r>
        <w:rPr>
          <w:rFonts w:cs="Times New Roman"/>
          <w:lang w:val="en-PH"/>
        </w:rPr>
        <w:t>‘</w:t>
      </w:r>
      <w:r w:rsidRPr="005F4A24">
        <w:rPr>
          <w:rFonts w:cs="Times New Roman"/>
          <w:lang w:val="en-PH"/>
        </w:rPr>
        <w:t>cocked and locked</w:t>
      </w:r>
      <w:r>
        <w:rPr>
          <w:rFonts w:cs="Times New Roman"/>
          <w:lang w:val="en-PH"/>
        </w:rPr>
        <w:t>’</w:t>
      </w:r>
      <w:r w:rsidRPr="005F4A24">
        <w:rPr>
          <w:rFonts w:cs="Times New Roman"/>
          <w:lang w:val="en-PH"/>
        </w:rPr>
        <w:t xml:space="preserve"> carrying of a firearm;</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Pr>
          <w:rFonts w:cs="Times New Roman"/>
          <w:lang w:val="en-PH"/>
        </w:rPr>
        <w:tab/>
      </w:r>
      <w:r>
        <w:rPr>
          <w:rFonts w:cs="Times New Roman"/>
          <w:lang w:val="en-PH"/>
        </w:rPr>
        <w:tab/>
      </w:r>
      <w:r>
        <w:rPr>
          <w:rFonts w:cs="Times New Roman"/>
          <w:lang w:val="en-PH"/>
        </w:rPr>
        <w:tab/>
        <w:t>(vii)</w:t>
      </w:r>
      <w:r>
        <w:rPr>
          <w:rFonts w:cs="Times New Roman"/>
          <w:lang w:val="en-PH"/>
        </w:rPr>
        <w:tab/>
      </w:r>
      <w:r w:rsidRPr="005F4A24">
        <w:rPr>
          <w:rFonts w:cs="Times New Roman"/>
          <w:lang w:val="en-PH"/>
        </w:rPr>
        <w:t>how to respond to a person who attempts to take your firearm from your holster; and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Pr>
          <w:rFonts w:cs="Times New Roman"/>
          <w:lang w:val="en-PH"/>
        </w:rPr>
        <w:tab/>
      </w:r>
      <w:r>
        <w:rPr>
          <w:rFonts w:cs="Times New Roman"/>
          <w:lang w:val="en-PH"/>
        </w:rPr>
        <w:tab/>
      </w:r>
      <w:r>
        <w:rPr>
          <w:rFonts w:cs="Times New Roman"/>
          <w:lang w:val="en-PH"/>
        </w:rPr>
        <w:tab/>
        <w:t xml:space="preserve">(viii) </w:t>
      </w:r>
      <w:r w:rsidRPr="005F4A24">
        <w:rPr>
          <w:rFonts w:cs="Times New Roman"/>
          <w:lang w:val="en-PH"/>
        </w:rPr>
        <w:t>deescalation techniques and strategies.”</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Church services</w:t>
      </w:r>
    </w:p>
    <w:p w:rsidR="009B1841" w:rsidRPr="00DE2922"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rPr>
        <w:t>SECTION</w:t>
      </w:r>
      <w:r w:rsidRPr="005F4A24">
        <w:rPr>
          <w:rFonts w:cs="Times New Roman"/>
        </w:rPr>
        <w:tab/>
        <w:t>7.</w:t>
      </w:r>
      <w:r w:rsidRPr="005F4A24">
        <w:rPr>
          <w:rFonts w:cs="Times New Roman"/>
        </w:rPr>
        <w:tab/>
      </w:r>
      <w:r w:rsidRPr="005F4A24">
        <w:rPr>
          <w:rFonts w:cs="Times New Roman"/>
          <w:snapToGrid w:val="0"/>
        </w:rPr>
        <w:t>Article 4, Chapter 31, Title 23 of the 1976 Code is amended by adding:</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“Section 23</w:t>
      </w:r>
      <w:r>
        <w:rPr>
          <w:rFonts w:cs="Times New Roman"/>
          <w:snapToGrid w:val="0"/>
        </w:rPr>
        <w:noBreakHyphen/>
      </w:r>
      <w:r w:rsidRPr="005F4A24">
        <w:rPr>
          <w:rFonts w:cs="Times New Roman"/>
          <w:snapToGrid w:val="0"/>
        </w:rPr>
        <w:t>31</w:t>
      </w:r>
      <w:r>
        <w:rPr>
          <w:rFonts w:cs="Times New Roman"/>
          <w:snapToGrid w:val="0"/>
        </w:rPr>
        <w:noBreakHyphen/>
      </w:r>
      <w:r w:rsidRPr="005F4A24">
        <w:rPr>
          <w:rFonts w:cs="Times New Roman"/>
          <w:snapToGrid w:val="0"/>
        </w:rPr>
        <w:t>232.</w:t>
      </w:r>
      <w:r w:rsidRPr="005F4A24">
        <w:rPr>
          <w:rFonts w:cs="Times New Roman"/>
          <w:snapToGrid w:val="0"/>
        </w:rPr>
        <w:tab/>
        <w:t>(A)</w:t>
      </w:r>
      <w:r w:rsidRPr="005F4A24">
        <w:rPr>
          <w:rFonts w:cs="Times New Roman"/>
          <w:snapToGrid w:val="0"/>
        </w:rPr>
        <w:tab/>
        <w:t>Notwithstanding any other provision of law, upon express permission given by the appropriate church official or governing body, a person who holds a valid permit issued pursuant to this article may carry a concealable weapon, whether concealed or openly carried, on the leased premises of an elementary or secondary school if a church leases the school premises or areas within the school for church services or official church activities.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r>
      <w:r w:rsidRPr="005F4A24">
        <w:rPr>
          <w:rFonts w:cs="Times New Roman"/>
          <w:snapToGrid w:val="0"/>
        </w:rPr>
        <w:tab/>
        <w:t>(1)</w:t>
      </w:r>
      <w:r w:rsidRPr="005F4A24">
        <w:rPr>
          <w:rFonts w:cs="Times New Roman"/>
          <w:snapToGrid w:val="0"/>
        </w:rPr>
        <w:tab/>
        <w:t>The provisions contained in this section apply:</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lastRenderedPageBreak/>
        <w:tab/>
      </w:r>
      <w:r w:rsidRPr="005F4A24">
        <w:rPr>
          <w:rFonts w:cs="Times New Roman"/>
          <w:snapToGrid w:val="0"/>
        </w:rPr>
        <w:tab/>
      </w:r>
      <w:r w:rsidRPr="005F4A24">
        <w:rPr>
          <w:rFonts w:cs="Times New Roman"/>
          <w:snapToGrid w:val="0"/>
        </w:rPr>
        <w:tab/>
        <w:t>(a)</w:t>
      </w:r>
      <w:r w:rsidRPr="005F4A24">
        <w:rPr>
          <w:rFonts w:cs="Times New Roman"/>
          <w:snapToGrid w:val="0"/>
        </w:rPr>
        <w:tab/>
        <w:t>only during those times that the church has the use and enjoyment of the school property pursuant to its lease with the school; and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r>
      <w:r w:rsidRPr="005F4A24">
        <w:rPr>
          <w:rFonts w:cs="Times New Roman"/>
          <w:snapToGrid w:val="0"/>
        </w:rPr>
        <w:tab/>
      </w:r>
      <w:r w:rsidRPr="005F4A24">
        <w:rPr>
          <w:rFonts w:cs="Times New Roman"/>
          <w:snapToGrid w:val="0"/>
        </w:rPr>
        <w:tab/>
        <w:t>(b)</w:t>
      </w:r>
      <w:r w:rsidRPr="005F4A24">
        <w:rPr>
          <w:rFonts w:cs="Times New Roman"/>
          <w:snapToGrid w:val="0"/>
        </w:rPr>
        <w:tab/>
        <w:t>only to the areas of the school within the lease agreement, any related parking areas, or any reasonable ingress or egress between these areas.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r>
      <w:r w:rsidRPr="005F4A24">
        <w:rPr>
          <w:rFonts w:cs="Times New Roman"/>
          <w:snapToGrid w:val="0"/>
        </w:rPr>
        <w:tab/>
        <w:t>(2)</w:t>
      </w:r>
      <w:r w:rsidRPr="005F4A24">
        <w:rPr>
          <w:rFonts w:cs="Times New Roman"/>
          <w:snapToGrid w:val="0"/>
        </w:rPr>
        <w:tab/>
        <w:t>A school district may request that a church utilizing school property for its services disclose and notify the school district if persons are, or may be, carrying concealed weapons on the school property.</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r>
      <w:r w:rsidRPr="005F4A24">
        <w:rPr>
          <w:rFonts w:cs="Times New Roman"/>
          <w:snapToGrid w:val="0"/>
        </w:rPr>
        <w:tab/>
        <w:t>(3)</w:t>
      </w:r>
      <w:r w:rsidRPr="005F4A24">
        <w:rPr>
          <w:rFonts w:cs="Times New Roman"/>
          <w:snapToGrid w:val="0"/>
        </w:rPr>
        <w:tab/>
        <w:t>The provisions of this section do not apply during any time students are present as a result of a curricular or extracurricular school</w:t>
      </w:r>
      <w:r>
        <w:rPr>
          <w:rFonts w:cs="Times New Roman"/>
          <w:snapToGrid w:val="0"/>
        </w:rPr>
        <w:noBreakHyphen/>
      </w:r>
      <w:r w:rsidRPr="005F4A24">
        <w:rPr>
          <w:rFonts w:cs="Times New Roman"/>
          <w:snapToGrid w:val="0"/>
        </w:rPr>
        <w:t>sponsored activity that is taking place on the school property.</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snapToGrid w:val="0"/>
        </w:rPr>
        <w:tab/>
        <w:t>(B)</w:t>
      </w:r>
      <w:r w:rsidRPr="005F4A24">
        <w:rPr>
          <w:rFonts w:cs="Times New Roman"/>
          <w:snapToGrid w:val="0"/>
        </w:rPr>
        <w:tab/>
        <w:t>For the purposes of the Federal Gun</w:t>
      </w:r>
      <w:r>
        <w:rPr>
          <w:rFonts w:cs="Times New Roman"/>
          <w:snapToGrid w:val="0"/>
        </w:rPr>
        <w:noBreakHyphen/>
      </w:r>
      <w:r w:rsidRPr="005F4A24">
        <w:rPr>
          <w:rFonts w:cs="Times New Roman"/>
          <w:snapToGrid w:val="0"/>
        </w:rPr>
        <w:t>Free School Zone Act (18 U.S.C. Section 921(a)), the buildings and grounds of a school that are leased to a church are not considered a school during the hours that the church has the use and enjoyment of the school property pursuant to this section.”</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Open carrying of weapons</w:t>
      </w:r>
    </w:p>
    <w:p w:rsidR="009B1841" w:rsidRPr="00DE2922"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SECTION</w:t>
      </w:r>
      <w:r w:rsidRPr="005F4A24">
        <w:rPr>
          <w:rFonts w:cs="Times New Roman"/>
        </w:rPr>
        <w:tab/>
        <w:t>8.</w:t>
      </w:r>
      <w:r w:rsidRPr="005F4A24">
        <w:rPr>
          <w:rFonts w:cs="Times New Roman"/>
        </w:rPr>
        <w:tab/>
        <w:t>Section 23</w:t>
      </w:r>
      <w:r>
        <w:rPr>
          <w:rFonts w:cs="Times New Roman"/>
        </w:rPr>
        <w:noBreakHyphen/>
      </w:r>
      <w:r w:rsidRPr="005F4A24">
        <w:rPr>
          <w:rFonts w:cs="Times New Roman"/>
        </w:rPr>
        <w:t>31</w:t>
      </w:r>
      <w:r>
        <w:rPr>
          <w:rFonts w:cs="Times New Roman"/>
        </w:rPr>
        <w:noBreakHyphen/>
      </w:r>
      <w:r w:rsidRPr="005F4A24">
        <w:rPr>
          <w:rFonts w:cs="Times New Roman"/>
        </w:rPr>
        <w:t>520 of the 1976 Code is amended to read: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“Section 23</w:t>
      </w:r>
      <w:r>
        <w:rPr>
          <w:rFonts w:cs="Times New Roman"/>
        </w:rPr>
        <w:noBreakHyphen/>
      </w:r>
      <w:r w:rsidRPr="005F4A24">
        <w:rPr>
          <w:rFonts w:cs="Times New Roman"/>
        </w:rPr>
        <w:t>31</w:t>
      </w:r>
      <w:r>
        <w:rPr>
          <w:rFonts w:cs="Times New Roman"/>
        </w:rPr>
        <w:noBreakHyphen/>
        <w:t>520.</w:t>
      </w:r>
      <w:r w:rsidRPr="005F4A24">
        <w:rPr>
          <w:rFonts w:cs="Times New Roman"/>
          <w:lang w:val="en-PH"/>
        </w:rPr>
        <w:tab/>
      </w:r>
      <w:r w:rsidRPr="005F4A24">
        <w:rPr>
          <w:rFonts w:cs="Times New Roman"/>
        </w:rPr>
        <w:t>(A)</w:t>
      </w:r>
      <w:r w:rsidRPr="005F4A24">
        <w:rPr>
          <w:rFonts w:cs="Times New Roman"/>
        </w:rPr>
        <w:tab/>
        <w:t>Notwithstanding another provision of law, 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a county, municipality, or political subdivision may not exercise the provisions of this subsection. A person or entity hosting a public protest, rally, fair, parade, festival, or other organized event must post signs at the event when open carrying is allowed or not allowed at the event.</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(B)</w:t>
      </w:r>
      <w:r w:rsidRPr="005F4A24">
        <w:rPr>
          <w:rFonts w:cs="Times New Roman"/>
        </w:rPr>
        <w:tab/>
        <w:t xml:space="preserve">A governing body exercising the authority granted to it pursuant to this section must be specific in the area, duration, and manner in which the restriction is imposed and must provide prior notice of the restriction when feasible. In no event may the restriction extend beyond the beginning and conclusion of the event or beyond the location of the event. The duration of an event may not be scheduled for such a length of time as to frustrate the intent of this section.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(C)</w:t>
      </w:r>
      <w:r w:rsidRPr="005F4A24">
        <w:rPr>
          <w:rFonts w:cs="Times New Roman"/>
        </w:rPr>
        <w:tab/>
        <w:t>A county, municipality, or political subdivision may not confiscate a firearm or ammunition for a violation of this section unless incident to an otherwise lawful arrest.”</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Concealed and open carrying of weapons</w:t>
      </w:r>
    </w:p>
    <w:p w:rsidR="009B1841" w:rsidRPr="00DE2922"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SECTION</w:t>
      </w:r>
      <w:r w:rsidRPr="005F4A24">
        <w:rPr>
          <w:rFonts w:cs="Times New Roman"/>
          <w:snapToGrid w:val="0"/>
        </w:rPr>
        <w:tab/>
        <w:t>9.</w:t>
      </w:r>
      <w:r w:rsidRPr="005F4A24">
        <w:rPr>
          <w:rFonts w:cs="Times New Roman"/>
          <w:snapToGrid w:val="0"/>
        </w:rPr>
        <w:tab/>
        <w:t>A.</w:t>
      </w:r>
      <w:r w:rsidRPr="005F4A24">
        <w:rPr>
          <w:rFonts w:cs="Times New Roman"/>
          <w:snapToGrid w:val="0"/>
        </w:rPr>
        <w:tab/>
      </w:r>
      <w:r>
        <w:rPr>
          <w:rFonts w:cs="Times New Roman"/>
          <w:snapToGrid w:val="0"/>
        </w:rPr>
        <w:t xml:space="preserve"> </w:t>
      </w:r>
      <w:r w:rsidRPr="005F4A24">
        <w:rPr>
          <w:rFonts w:cs="Times New Roman"/>
          <w:snapToGrid w:val="0"/>
        </w:rPr>
        <w:t>Article 4, Chapter 31, Title 23 of the 1976 Code is amended by adding:</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snapToGrid w:val="0"/>
        </w:rPr>
        <w:tab/>
        <w:t>“Section 23</w:t>
      </w:r>
      <w:r>
        <w:rPr>
          <w:rFonts w:cs="Times New Roman"/>
          <w:snapToGrid w:val="0"/>
        </w:rPr>
        <w:noBreakHyphen/>
      </w:r>
      <w:r w:rsidRPr="005F4A24">
        <w:rPr>
          <w:rFonts w:cs="Times New Roman"/>
          <w:snapToGrid w:val="0"/>
        </w:rPr>
        <w:t>31</w:t>
      </w:r>
      <w:r>
        <w:rPr>
          <w:rFonts w:cs="Times New Roman"/>
          <w:snapToGrid w:val="0"/>
        </w:rPr>
        <w:noBreakHyphen/>
      </w:r>
      <w:r w:rsidRPr="005F4A24">
        <w:rPr>
          <w:rFonts w:cs="Times New Roman"/>
          <w:snapToGrid w:val="0"/>
        </w:rPr>
        <w:t>250.</w:t>
      </w:r>
      <w:r w:rsidRPr="005F4A24">
        <w:rPr>
          <w:rFonts w:cs="Times New Roman"/>
          <w:snapToGrid w:val="0"/>
        </w:rPr>
        <w:tab/>
        <w:t>(A)</w:t>
      </w:r>
      <w:r w:rsidRPr="005F4A24">
        <w:rPr>
          <w:rFonts w:cs="Times New Roman"/>
          <w:snapToGrid w:val="0"/>
        </w:rPr>
        <w:tab/>
      </w:r>
      <w:r w:rsidRPr="005F4A24">
        <w:rPr>
          <w:rFonts w:cs="Times New Roman"/>
        </w:rPr>
        <w:t xml:space="preserve">The State of South Carolina, and </w:t>
      </w:r>
      <w:r>
        <w:rPr>
          <w:rFonts w:cs="Times New Roman"/>
        </w:rPr>
        <w:t>its political subdivisions, can</w:t>
      </w:r>
      <w:r w:rsidRPr="005F4A24">
        <w:rPr>
          <w:rFonts w:cs="Times New Roman"/>
        </w:rPr>
        <w:t>not be compelled by the federal government to take any legislative or executive action to implement or enforce a federal law, treaty, executive order, rule, or regulation related to an individual</w:t>
      </w:r>
      <w:r>
        <w:rPr>
          <w:rFonts w:cs="Times New Roman"/>
        </w:rPr>
        <w:t>’</w:t>
      </w:r>
      <w:r w:rsidRPr="005F4A24">
        <w:rPr>
          <w:rFonts w:cs="Times New Roman"/>
        </w:rPr>
        <w:t>s right to keep and bear arms enshrined in the Second Amendment to the United States Constitution that limits or proscribes carrying concealable weapons, whether concealed or openly carried, as provided in this chapter.</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(B)</w:t>
      </w:r>
      <w:r w:rsidRPr="005F4A24">
        <w:rPr>
          <w:rFonts w:cs="Times New Roman"/>
        </w:rPr>
        <w:tab/>
        <w:t>Any federal law, treaty, executive order, rule, or regulation related to limiting or proscribing the carry of concealable weapons must be evaluated by the Attorney General. The Attorney General shall issue a written opinion of whether the law, treaty, executive order, rule, or regulation purports to compel legislative or executive action prohibited pursuant to subsection (A).</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(C)</w:t>
      </w:r>
      <w:r w:rsidRPr="005F4A24">
        <w:rPr>
          <w:rFonts w:cs="Times New Roman"/>
        </w:rPr>
        <w:tab/>
        <w:t>If the Attorney General renders an opinion that a federal law, treaty, executive order, rule, or regulation purports to compel legislative or executive action prohibited pursuant to subsection (A), then:</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(1)</w:t>
      </w:r>
      <w:r w:rsidRPr="005F4A24">
        <w:rPr>
          <w:rFonts w:cs="Times New Roman"/>
        </w:rPr>
        <w:tab/>
        <w:t>no public funds of this State, or any political subdivision of this State, shall be allocated for the implementation or enforcement of that federal law, treaty, executive order, rule, or regulation;</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(2)</w:t>
      </w:r>
      <w:r w:rsidRPr="005F4A24">
        <w:rPr>
          <w:rFonts w:cs="Times New Roman"/>
        </w:rPr>
        <w:tab/>
        <w:t>no personnel or property of this State, or any political subdivision of this State, shall be allocated to the implementation or enforcement of that federal law, treaty, executive order, rule, or regulation; and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color w:val="000000" w:themeColor="text1"/>
          <w:u w:color="000000" w:themeColor="text1"/>
        </w:rPr>
        <w:tab/>
      </w:r>
      <w:r w:rsidRPr="005F4A24">
        <w:rPr>
          <w:rFonts w:cs="Times New Roman"/>
          <w:color w:val="000000" w:themeColor="text1"/>
          <w:u w:color="000000" w:themeColor="text1"/>
        </w:rPr>
        <w:tab/>
        <w:t>(3)</w:t>
      </w:r>
      <w:r w:rsidRPr="005F4A24">
        <w:rPr>
          <w:rFonts w:cs="Times New Roman"/>
          <w:color w:val="000000" w:themeColor="text1"/>
          <w:u w:color="000000" w:themeColor="text1"/>
        </w:rPr>
        <w:tab/>
        <w:t xml:space="preserve">no official, agent, or employee of the State of South Carolina, or any political subdivision of it, shall implement, attempt to implement, enforce, or attempt to enforce that </w:t>
      </w:r>
      <w:r w:rsidRPr="005F4A24">
        <w:rPr>
          <w:rFonts w:cs="Times New Roman"/>
        </w:rPr>
        <w:t>federal law, treaty, executive order, rule, or regulation.”</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B.</w:t>
      </w:r>
      <w:r w:rsidRPr="005F4A24">
        <w:rPr>
          <w:rFonts w:cs="Times New Roman"/>
          <w:snapToGrid w:val="0"/>
        </w:rPr>
        <w:tab/>
      </w:r>
      <w:r>
        <w:rPr>
          <w:rFonts w:cs="Times New Roman"/>
          <w:snapToGrid w:val="0"/>
        </w:rPr>
        <w:t xml:space="preserve"> </w:t>
      </w:r>
      <w:r w:rsidRPr="005F4A24">
        <w:rPr>
          <w:rFonts w:cs="Times New Roman"/>
          <w:snapToGrid w:val="0"/>
        </w:rPr>
        <w:t>This SECTION takes effect upon approval by the Governor.</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Disposition of cases</w:t>
      </w:r>
    </w:p>
    <w:p w:rsidR="009B1841" w:rsidRPr="00DE2922"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SECTION</w:t>
      </w:r>
      <w:r w:rsidRPr="005F4A24">
        <w:rPr>
          <w:rFonts w:cs="Times New Roman"/>
        </w:rPr>
        <w:tab/>
        <w:t>10. A.</w:t>
      </w:r>
      <w:r w:rsidRPr="005F4A24">
        <w:rPr>
          <w:rFonts w:cs="Times New Roman"/>
        </w:rPr>
        <w:tab/>
        <w:t>Section 14</w:t>
      </w:r>
      <w:r>
        <w:rPr>
          <w:rFonts w:cs="Times New Roman"/>
        </w:rPr>
        <w:noBreakHyphen/>
      </w:r>
      <w:r w:rsidRPr="005F4A24">
        <w:rPr>
          <w:rFonts w:cs="Times New Roman"/>
        </w:rPr>
        <w:t>17</w:t>
      </w:r>
      <w:r>
        <w:rPr>
          <w:rFonts w:cs="Times New Roman"/>
        </w:rPr>
        <w:noBreakHyphen/>
      </w:r>
      <w:r w:rsidRPr="005F4A24">
        <w:rPr>
          <w:rFonts w:cs="Times New Roman"/>
        </w:rPr>
        <w:t>325 of the 1976 Code is amended to read: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lastRenderedPageBreak/>
        <w:tab/>
        <w:t>“Section 14</w:t>
      </w:r>
      <w:r>
        <w:rPr>
          <w:rFonts w:cs="Times New Roman"/>
        </w:rPr>
        <w:noBreakHyphen/>
      </w:r>
      <w:r w:rsidRPr="005F4A24">
        <w:rPr>
          <w:rFonts w:cs="Times New Roman"/>
        </w:rPr>
        <w:t>17</w:t>
      </w:r>
      <w:r>
        <w:rPr>
          <w:rFonts w:cs="Times New Roman"/>
        </w:rPr>
        <w:noBreakHyphen/>
      </w:r>
      <w:r w:rsidRPr="005F4A24">
        <w:rPr>
          <w:rFonts w:cs="Times New Roman"/>
        </w:rPr>
        <w:t>325.</w:t>
      </w:r>
      <w:r w:rsidRPr="005F4A24">
        <w:rPr>
          <w:rFonts w:cs="Times New Roman"/>
        </w:rPr>
        <w:tab/>
        <w:t>(A)</w:t>
      </w:r>
      <w:r w:rsidRPr="005F4A24">
        <w:rPr>
          <w:rFonts w:cs="Times New Roman"/>
        </w:rPr>
        <w:tab/>
        <w:t xml:space="preserve">Every clerk of court shall report the disposition of each case in the Court of General Sessions to the State Law Enforcement Division within five days of disposition, weekends and holidays excluded.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(B)</w:t>
      </w:r>
      <w:r w:rsidRPr="005F4A24">
        <w:rPr>
          <w:rFonts w:cs="Times New Roman"/>
        </w:rPr>
        <w:tab/>
        <w:t xml:space="preserve">Every clerk of court shall also report to the State Law Enforcement Division, within five days, the issuance, rescission, or termination of any: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(1)</w:t>
      </w:r>
      <w:r w:rsidRPr="005F4A24">
        <w:rPr>
          <w:rFonts w:cs="Times New Roman"/>
        </w:rPr>
        <w:tab/>
        <w:t xml:space="preserve">criminal indictments;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(2)</w:t>
      </w:r>
      <w:r w:rsidRPr="005F4A24">
        <w:rPr>
          <w:rFonts w:cs="Times New Roman"/>
        </w:rPr>
        <w:tab/>
        <w:t xml:space="preserve">permanent restraining orders;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(3)</w:t>
      </w:r>
      <w:r w:rsidRPr="005F4A24">
        <w:rPr>
          <w:rFonts w:cs="Times New Roman"/>
        </w:rPr>
        <w:tab/>
        <w:t>orders of state firearms prohibition pursuant to Section 16</w:t>
      </w:r>
      <w:r>
        <w:rPr>
          <w:rFonts w:cs="Times New Roman"/>
        </w:rPr>
        <w:noBreakHyphen/>
      </w:r>
      <w:r w:rsidRPr="005F4A24">
        <w:rPr>
          <w:rFonts w:cs="Times New Roman"/>
        </w:rPr>
        <w:t>25</w:t>
      </w:r>
      <w:r>
        <w:rPr>
          <w:rFonts w:cs="Times New Roman"/>
        </w:rPr>
        <w:noBreakHyphen/>
      </w:r>
      <w:r w:rsidRPr="005F4A24">
        <w:rPr>
          <w:rFonts w:cs="Times New Roman"/>
        </w:rPr>
        <w:t xml:space="preserve">30; and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4A24">
        <w:rPr>
          <w:rFonts w:cs="Times New Roman"/>
        </w:rPr>
        <w:tab/>
      </w:r>
      <w:r w:rsidRPr="005F4A24">
        <w:rPr>
          <w:rFonts w:cs="Times New Roman"/>
        </w:rPr>
        <w:tab/>
      </w:r>
      <w:r w:rsidRPr="005F4A24">
        <w:rPr>
          <w:rFonts w:cs="Times New Roman"/>
          <w:color w:val="000000" w:themeColor="text1"/>
          <w:u w:color="000000" w:themeColor="text1"/>
        </w:rPr>
        <w:t>(4)</w:t>
      </w:r>
      <w:r w:rsidRPr="005F4A24">
        <w:rPr>
          <w:rFonts w:cs="Times New Roman"/>
          <w:color w:val="000000" w:themeColor="text1"/>
          <w:u w:color="000000" w:themeColor="text1"/>
        </w:rPr>
        <w:tab/>
        <w:t>other restraining orders, orders of protection, or other orders that prohibit a person from legally purchasing or possessing a firearm, but only upon being directed to transmit such orders by the appropriate judge. For any orders, the Court Administration must provide the form.</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(C)</w:t>
      </w:r>
      <w:r w:rsidRPr="005F4A24">
        <w:rPr>
          <w:rFonts w:cs="Times New Roman"/>
        </w:rPr>
        <w:tab/>
      </w:r>
      <w:r w:rsidRPr="005F4A24">
        <w:rPr>
          <w:rFonts w:cs="Times New Roman"/>
          <w:lang w:val="en-PH"/>
        </w:rPr>
        <w:t>The reporting required by this section must be in a format approved by the State Law Enforcement Div</w:t>
      </w:r>
      <w:r>
        <w:rPr>
          <w:rFonts w:cs="Times New Roman"/>
          <w:lang w:val="en-PH"/>
        </w:rPr>
        <w:t>ision and Court Administration.</w:t>
      </w:r>
      <w:r w:rsidRPr="005F4A24">
        <w:rPr>
          <w:rFonts w:cs="Times New Roman"/>
        </w:rPr>
        <w:t>”</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B.</w:t>
      </w:r>
      <w:r w:rsidRPr="005F4A24">
        <w:rPr>
          <w:rFonts w:cs="Times New Roman"/>
        </w:rPr>
        <w:tab/>
        <w:t xml:space="preserve"> Chapter 1, Title 22 of the 1976 Code is amended by adding:</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“Section 22</w:t>
      </w:r>
      <w:r>
        <w:rPr>
          <w:rFonts w:cs="Times New Roman"/>
        </w:rPr>
        <w:noBreakHyphen/>
      </w:r>
      <w:r w:rsidRPr="005F4A24">
        <w:rPr>
          <w:rFonts w:cs="Times New Roman"/>
        </w:rPr>
        <w:t>1</w:t>
      </w:r>
      <w:r>
        <w:rPr>
          <w:rFonts w:cs="Times New Roman"/>
        </w:rPr>
        <w:noBreakHyphen/>
      </w:r>
      <w:r w:rsidRPr="005F4A24">
        <w:rPr>
          <w:rFonts w:cs="Times New Roman"/>
        </w:rPr>
        <w:t>200.</w:t>
      </w:r>
      <w:r w:rsidRPr="005F4A24">
        <w:rPr>
          <w:rFonts w:cs="Times New Roman"/>
        </w:rPr>
        <w:tab/>
        <w:t>(A)</w:t>
      </w:r>
      <w:r w:rsidRPr="005F4A24">
        <w:rPr>
          <w:rFonts w:cs="Times New Roman"/>
        </w:rPr>
        <w:tab/>
        <w:t xml:space="preserve">Magistrates shall report the disposition of each criminal case to the State Law Enforcement Division within five days, weekends and holidays excluded.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(B)</w:t>
      </w:r>
      <w:r w:rsidRPr="005F4A24">
        <w:rPr>
          <w:rFonts w:cs="Times New Roman"/>
        </w:rPr>
        <w:tab/>
        <w:t>Magistrates shall also report to the State Law Enforcement Division, within five days, weekends and holidays excluded, the issuance, rescission, or termination of any:</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(1)</w:t>
      </w:r>
      <w:r w:rsidRPr="005F4A24">
        <w:rPr>
          <w:rFonts w:cs="Times New Roman"/>
        </w:rPr>
        <w:tab/>
        <w:t xml:space="preserve">restraining orders and emergency restraining orders;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(2)</w:t>
      </w:r>
      <w:r w:rsidRPr="005F4A24">
        <w:rPr>
          <w:rFonts w:cs="Times New Roman"/>
        </w:rPr>
        <w:tab/>
        <w:t>magistrate court orders of protection from domestic abuse act orders;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(3)</w:t>
      </w:r>
      <w:r w:rsidRPr="005F4A24">
        <w:rPr>
          <w:rFonts w:cs="Times New Roman"/>
        </w:rPr>
        <w:tab/>
        <w:t>orders of state firearms prohibition pursuant to Section 16</w:t>
      </w:r>
      <w:r>
        <w:rPr>
          <w:rFonts w:cs="Times New Roman"/>
        </w:rPr>
        <w:noBreakHyphen/>
      </w:r>
      <w:r w:rsidRPr="005F4A24">
        <w:rPr>
          <w:rFonts w:cs="Times New Roman"/>
        </w:rPr>
        <w:t>25</w:t>
      </w:r>
      <w:r>
        <w:rPr>
          <w:rFonts w:cs="Times New Roman"/>
        </w:rPr>
        <w:noBreakHyphen/>
      </w:r>
      <w:r w:rsidRPr="005F4A24">
        <w:rPr>
          <w:rFonts w:cs="Times New Roman"/>
        </w:rPr>
        <w:t>30; and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(4)</w:t>
      </w:r>
      <w:r w:rsidRPr="005F4A24">
        <w:rPr>
          <w:rFonts w:cs="Times New Roman"/>
        </w:rPr>
        <w:tab/>
        <w:t>any other restraining orders, orders of protection, or other orders that prohibit a person from legally purchasing or possessing a firearm, but only upon being directed to transmit such orders by the appropriate magistrate. For any form orders provided by Court Administration that may require transmission pursuant to this subsection, Court Administration shall include within the form order a checked box option that the magistrate may select, when appropriate, to order the clerk to transmit the appropriate information to SLED.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(C)</w:t>
      </w:r>
      <w:r w:rsidRPr="005F4A24">
        <w:rPr>
          <w:rFonts w:cs="Times New Roman"/>
        </w:rPr>
        <w:tab/>
        <w:t>The reporting required by this section must be in a format approved by the State Law Enforcement Division and Court Administration.”</w:t>
      </w:r>
      <w:r w:rsidRPr="005F4A24">
        <w:rPr>
          <w:rFonts w:cs="Times New Roman"/>
        </w:rPr>
        <w:tab/>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C.</w:t>
      </w:r>
      <w:r w:rsidRPr="005F4A24">
        <w:rPr>
          <w:rFonts w:cs="Times New Roman"/>
        </w:rPr>
        <w:tab/>
        <w:t xml:space="preserve"> Article 1, Chapter 25, Title 14 of the 1976 Code is amended by adding:</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“Section 14</w:t>
      </w:r>
      <w:r>
        <w:rPr>
          <w:rFonts w:cs="Times New Roman"/>
        </w:rPr>
        <w:noBreakHyphen/>
      </w:r>
      <w:r w:rsidRPr="005F4A24">
        <w:rPr>
          <w:rFonts w:cs="Times New Roman"/>
        </w:rPr>
        <w:t>25</w:t>
      </w:r>
      <w:r>
        <w:rPr>
          <w:rFonts w:cs="Times New Roman"/>
        </w:rPr>
        <w:noBreakHyphen/>
      </w:r>
      <w:r w:rsidRPr="005F4A24">
        <w:rPr>
          <w:rFonts w:cs="Times New Roman"/>
        </w:rPr>
        <w:t>250.</w:t>
      </w:r>
      <w:r w:rsidRPr="005F4A24">
        <w:rPr>
          <w:rFonts w:cs="Times New Roman"/>
        </w:rPr>
        <w:tab/>
        <w:t>(A)</w:t>
      </w:r>
      <w:r w:rsidRPr="005F4A24">
        <w:rPr>
          <w:rFonts w:cs="Times New Roman"/>
        </w:rPr>
        <w:tab/>
        <w:t xml:space="preserve">Each municipal judge shall report the disposition of each criminal case to the State Law Enforcement Division within five days, weekends and holidays excluded.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(B)</w:t>
      </w:r>
      <w:r w:rsidRPr="005F4A24">
        <w:rPr>
          <w:rFonts w:cs="Times New Roman"/>
        </w:rPr>
        <w:tab/>
        <w:t>A municipal judge shall also report to the State Law Enforcement Division, within five days, weekends and holidays excluded, the issuance, rescission, or termination of any:</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(1)</w:t>
      </w:r>
      <w:r w:rsidRPr="005F4A24">
        <w:rPr>
          <w:rFonts w:cs="Times New Roman"/>
        </w:rPr>
        <w:tab/>
        <w:t xml:space="preserve">restraining orders and emergency restraining orders;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(2)</w:t>
      </w:r>
      <w:r w:rsidRPr="005F4A24">
        <w:rPr>
          <w:rFonts w:cs="Times New Roman"/>
        </w:rPr>
        <w:tab/>
        <w:t>municipal court orders of protection from domestic abuse act orders;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(3)</w:t>
      </w:r>
      <w:r w:rsidRPr="005F4A24">
        <w:rPr>
          <w:rFonts w:cs="Times New Roman"/>
        </w:rPr>
        <w:tab/>
        <w:t>orders of state firearms prohibition pursuant to Section 16</w:t>
      </w:r>
      <w:r>
        <w:rPr>
          <w:rFonts w:cs="Times New Roman"/>
        </w:rPr>
        <w:noBreakHyphen/>
      </w:r>
      <w:r w:rsidRPr="005F4A24">
        <w:rPr>
          <w:rFonts w:cs="Times New Roman"/>
        </w:rPr>
        <w:t>25</w:t>
      </w:r>
      <w:r>
        <w:rPr>
          <w:rFonts w:cs="Times New Roman"/>
        </w:rPr>
        <w:noBreakHyphen/>
      </w:r>
      <w:r w:rsidRPr="005F4A24">
        <w:rPr>
          <w:rFonts w:cs="Times New Roman"/>
        </w:rPr>
        <w:t>30; and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(4)</w:t>
      </w:r>
      <w:r w:rsidRPr="005F4A24">
        <w:rPr>
          <w:rFonts w:cs="Times New Roman"/>
        </w:rPr>
        <w:tab/>
        <w:t>any other restraining orders, orders of protection, or other orders that prohibit a person from legally purchasing or possessing a firearm,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(C)</w:t>
      </w:r>
      <w:r w:rsidRPr="005F4A24">
        <w:rPr>
          <w:rFonts w:cs="Times New Roman"/>
        </w:rPr>
        <w:tab/>
        <w:t>The reporting required by this section must be in a format approved by the State Law Enforcement Division and Court Administration.”</w:t>
      </w:r>
      <w:r w:rsidRPr="005F4A24">
        <w:rPr>
          <w:rFonts w:cs="Times New Roman"/>
        </w:rPr>
        <w:tab/>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D.</w:t>
      </w:r>
      <w:r w:rsidRPr="005F4A24">
        <w:rPr>
          <w:rFonts w:cs="Times New Roman"/>
        </w:rPr>
        <w:tab/>
      </w:r>
      <w:r>
        <w:rPr>
          <w:rFonts w:cs="Times New Roman"/>
        </w:rPr>
        <w:tab/>
      </w:r>
      <w:r w:rsidRPr="005F4A24">
        <w:rPr>
          <w:rFonts w:cs="Times New Roman"/>
        </w:rPr>
        <w:t>Article 5, Chapter 3, Title 63 of the 1976 Code is amended by adding:</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“Section 63</w:t>
      </w:r>
      <w:r>
        <w:rPr>
          <w:rFonts w:cs="Times New Roman"/>
        </w:rPr>
        <w:noBreakHyphen/>
      </w:r>
      <w:r w:rsidRPr="005F4A24">
        <w:rPr>
          <w:rFonts w:cs="Times New Roman"/>
        </w:rPr>
        <w:t>3</w:t>
      </w:r>
      <w:r>
        <w:rPr>
          <w:rFonts w:cs="Times New Roman"/>
        </w:rPr>
        <w:noBreakHyphen/>
      </w:r>
      <w:r w:rsidRPr="005F4A24">
        <w:rPr>
          <w:rFonts w:cs="Times New Roman"/>
        </w:rPr>
        <w:t>545.</w:t>
      </w:r>
      <w:r w:rsidRPr="005F4A24">
        <w:rPr>
          <w:rFonts w:cs="Times New Roman"/>
        </w:rPr>
        <w:tab/>
        <w:t>(A)</w:t>
      </w:r>
      <w:r w:rsidRPr="005F4A24">
        <w:rPr>
          <w:rFonts w:cs="Times New Roman"/>
        </w:rPr>
        <w:tab/>
        <w:t>The clerk of the family court shall report to the State Law Enforcement Division, within five days, weekends and holidays excluded, the issuance, rescission, or termination of any:</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(1)</w:t>
      </w:r>
      <w:r w:rsidRPr="005F4A24">
        <w:rPr>
          <w:rFonts w:cs="Times New Roman"/>
        </w:rPr>
        <w:tab/>
        <w:t xml:space="preserve">permanent restraining orders;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(2)</w:t>
      </w:r>
      <w:r w:rsidRPr="005F4A24">
        <w:rPr>
          <w:rFonts w:cs="Times New Roman"/>
        </w:rPr>
        <w:tab/>
        <w:t>family court orders of protection from domestic abuse act orders; or</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r>
      <w:r w:rsidRPr="005F4A24">
        <w:rPr>
          <w:rFonts w:cs="Times New Roman"/>
        </w:rPr>
        <w:tab/>
        <w:t>(3)</w:t>
      </w:r>
      <w:r w:rsidRPr="005F4A24">
        <w:rPr>
          <w:rFonts w:cs="Times New Roman"/>
        </w:rPr>
        <w:tab/>
        <w:t>any other restraining orders, orders of protection, or other orders that prohibit a person from legally purchasing or possessing a firearm, including any and all orders referenced in Section 16</w:t>
      </w:r>
      <w:r>
        <w:rPr>
          <w:rFonts w:cs="Times New Roman"/>
        </w:rPr>
        <w:noBreakHyphen/>
      </w:r>
      <w:r w:rsidRPr="005F4A24">
        <w:rPr>
          <w:rFonts w:cs="Times New Roman"/>
        </w:rPr>
        <w:t>25</w:t>
      </w:r>
      <w:r>
        <w:rPr>
          <w:rFonts w:cs="Times New Roman"/>
        </w:rPr>
        <w:noBreakHyphen/>
      </w:r>
      <w:r w:rsidRPr="005F4A24">
        <w:rPr>
          <w:rFonts w:cs="Times New Roman"/>
        </w:rPr>
        <w:t xml:space="preserve">30,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w:t>
      </w:r>
      <w:r w:rsidRPr="005F4A24">
        <w:rPr>
          <w:rFonts w:cs="Times New Roman"/>
        </w:rPr>
        <w:lastRenderedPageBreak/>
        <w:t>may select when appropriate to order the clerk to transmit the appropriate information to SLED.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ab/>
        <w:t>(B)</w:t>
      </w:r>
      <w:r w:rsidRPr="005F4A24">
        <w:rPr>
          <w:rFonts w:cs="Times New Roman"/>
        </w:rPr>
        <w:tab/>
        <w:t>The reporting required by this section must be made in a format approved by the State Law Enforcement Division and Court Administration.”</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E.</w:t>
      </w:r>
      <w:r>
        <w:rPr>
          <w:rFonts w:cs="Times New Roman"/>
        </w:rPr>
        <w:tab/>
      </w:r>
      <w:r w:rsidRPr="005F4A24">
        <w:rPr>
          <w:rFonts w:cs="Times New Roman"/>
        </w:rPr>
        <w:t>The provisions of this SECTION take effect October 1, 2021.</w:t>
      </w:r>
      <w:r w:rsidRPr="005F4A24">
        <w:rPr>
          <w:rFonts w:cs="Times New Roman"/>
        </w:rPr>
        <w:tab/>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Concealable weapons</w:t>
      </w:r>
    </w:p>
    <w:p w:rsidR="009B1841" w:rsidRPr="00DE2922"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SECTION</w:t>
      </w:r>
      <w:r w:rsidRPr="005F4A24">
        <w:rPr>
          <w:rFonts w:cs="Times New Roman"/>
          <w:snapToGrid w:val="0"/>
        </w:rPr>
        <w:tab/>
        <w:t>11.</w:t>
      </w:r>
      <w:r w:rsidRPr="005F4A24">
        <w:rPr>
          <w:rFonts w:cs="Times New Roman"/>
          <w:snapToGrid w:val="0"/>
        </w:rPr>
        <w:tab/>
        <w:t>Section 23</w:t>
      </w:r>
      <w:r>
        <w:rPr>
          <w:rFonts w:cs="Times New Roman"/>
          <w:snapToGrid w:val="0"/>
        </w:rPr>
        <w:noBreakHyphen/>
      </w:r>
      <w:r w:rsidRPr="005F4A24">
        <w:rPr>
          <w:rFonts w:cs="Times New Roman"/>
          <w:snapToGrid w:val="0"/>
        </w:rPr>
        <w:t>31</w:t>
      </w:r>
      <w:r>
        <w:rPr>
          <w:rFonts w:cs="Times New Roman"/>
          <w:snapToGrid w:val="0"/>
        </w:rPr>
        <w:noBreakHyphen/>
      </w:r>
      <w:r w:rsidRPr="005F4A24">
        <w:rPr>
          <w:rFonts w:cs="Times New Roman"/>
          <w:snapToGrid w:val="0"/>
        </w:rPr>
        <w:t>240 of the 1976 Code is amended to read: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“Section 23</w:t>
      </w:r>
      <w:r>
        <w:rPr>
          <w:rFonts w:cs="Times New Roman"/>
          <w:snapToGrid w:val="0"/>
        </w:rPr>
        <w:noBreakHyphen/>
      </w:r>
      <w:r w:rsidRPr="005F4A24">
        <w:rPr>
          <w:rFonts w:cs="Times New Roman"/>
          <w:snapToGrid w:val="0"/>
        </w:rPr>
        <w:t>31</w:t>
      </w:r>
      <w:r>
        <w:rPr>
          <w:rFonts w:cs="Times New Roman"/>
          <w:snapToGrid w:val="0"/>
        </w:rPr>
        <w:noBreakHyphen/>
      </w:r>
      <w:r w:rsidRPr="005F4A24">
        <w:rPr>
          <w:rFonts w:cs="Times New Roman"/>
          <w:snapToGrid w:val="0"/>
        </w:rPr>
        <w:t xml:space="preserve">240. </w:t>
      </w:r>
      <w:r w:rsidRPr="005F4A24">
        <w:rPr>
          <w:rFonts w:cs="Times New Roman"/>
          <w:snapToGrid w:val="0"/>
        </w:rPr>
        <w:tab/>
        <w:t>Notwithstanding any other provision contained in this article, the following persons who possess a valid permit pursuant to this article may carry a concealable weapon anywhere within this State:</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(1)</w:t>
      </w:r>
      <w:r w:rsidRPr="005F4A24">
        <w:rPr>
          <w:rFonts w:cs="Times New Roman"/>
          <w:snapToGrid w:val="0"/>
        </w:rPr>
        <w:tab/>
        <w:t>active Supreme Court justices;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(2)</w:t>
      </w:r>
      <w:r w:rsidRPr="005F4A24">
        <w:rPr>
          <w:rFonts w:cs="Times New Roman"/>
          <w:snapToGrid w:val="0"/>
        </w:rPr>
        <w:tab/>
        <w:t>active judges of the court of appeals;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(3)</w:t>
      </w:r>
      <w:r w:rsidRPr="005F4A24">
        <w:rPr>
          <w:rFonts w:cs="Times New Roman"/>
          <w:snapToGrid w:val="0"/>
        </w:rPr>
        <w:tab/>
        <w:t>active circuit court judges;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(4)</w:t>
      </w:r>
      <w:r w:rsidRPr="005F4A24">
        <w:rPr>
          <w:rFonts w:cs="Times New Roman"/>
          <w:snapToGrid w:val="0"/>
        </w:rPr>
        <w:tab/>
        <w:t>active family court judges;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(5)</w:t>
      </w:r>
      <w:r w:rsidRPr="005F4A24">
        <w:rPr>
          <w:rFonts w:cs="Times New Roman"/>
          <w:snapToGrid w:val="0"/>
        </w:rPr>
        <w:tab/>
        <w:t>active masters</w:t>
      </w:r>
      <w:r>
        <w:rPr>
          <w:rFonts w:cs="Times New Roman"/>
          <w:snapToGrid w:val="0"/>
        </w:rPr>
        <w:noBreakHyphen/>
      </w:r>
      <w:r w:rsidRPr="005F4A24">
        <w:rPr>
          <w:rFonts w:cs="Times New Roman"/>
          <w:snapToGrid w:val="0"/>
        </w:rPr>
        <w:t>in</w:t>
      </w:r>
      <w:r>
        <w:rPr>
          <w:rFonts w:cs="Times New Roman"/>
          <w:snapToGrid w:val="0"/>
        </w:rPr>
        <w:noBreakHyphen/>
      </w:r>
      <w:r w:rsidRPr="005F4A24">
        <w:rPr>
          <w:rFonts w:cs="Times New Roman"/>
          <w:snapToGrid w:val="0"/>
        </w:rPr>
        <w:t>equity;</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(6)</w:t>
      </w:r>
      <w:r w:rsidRPr="005F4A24">
        <w:rPr>
          <w:rFonts w:cs="Times New Roman"/>
          <w:snapToGrid w:val="0"/>
        </w:rPr>
        <w:tab/>
        <w:t>active probate court judges;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(7)</w:t>
      </w:r>
      <w:r w:rsidRPr="005F4A24">
        <w:rPr>
          <w:rFonts w:cs="Times New Roman"/>
          <w:snapToGrid w:val="0"/>
        </w:rPr>
        <w:tab/>
        <w:t>active magistrates;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(8)</w:t>
      </w:r>
      <w:r w:rsidRPr="005F4A24">
        <w:rPr>
          <w:rFonts w:cs="Times New Roman"/>
          <w:snapToGrid w:val="0"/>
        </w:rPr>
        <w:tab/>
        <w:t>active municipal court judges;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(9)</w:t>
      </w:r>
      <w:r w:rsidRPr="005F4A24">
        <w:rPr>
          <w:rFonts w:cs="Times New Roman"/>
          <w:snapToGrid w:val="0"/>
        </w:rPr>
        <w:tab/>
        <w:t>active federal judges;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(10)</w:t>
      </w:r>
      <w:r w:rsidRPr="005F4A24">
        <w:rPr>
          <w:rFonts w:cs="Times New Roman"/>
          <w:snapToGrid w:val="0"/>
        </w:rPr>
        <w:tab/>
        <w:t>active administrative law judges;</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(11)</w:t>
      </w:r>
      <w:r w:rsidRPr="005F4A24">
        <w:rPr>
          <w:rFonts w:cs="Times New Roman"/>
          <w:snapToGrid w:val="0"/>
        </w:rPr>
        <w:tab/>
        <w:t xml:space="preserve">active solicitors and assistant solicitors; </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(12)</w:t>
      </w:r>
      <w:r w:rsidRPr="005F4A24">
        <w:rPr>
          <w:rFonts w:cs="Times New Roman"/>
          <w:snapToGrid w:val="0"/>
        </w:rPr>
        <w:tab/>
        <w:t>active workers</w:t>
      </w:r>
      <w:r>
        <w:rPr>
          <w:rFonts w:cs="Times New Roman"/>
          <w:snapToGrid w:val="0"/>
        </w:rPr>
        <w:t>’</w:t>
      </w:r>
      <w:r w:rsidRPr="005F4A24">
        <w:rPr>
          <w:rFonts w:cs="Times New Roman"/>
          <w:snapToGrid w:val="0"/>
        </w:rPr>
        <w:t xml:space="preserve"> compensation commissioners; and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color w:val="000000" w:themeColor="text1"/>
        </w:rPr>
        <w:tab/>
      </w:r>
      <w:r w:rsidRPr="005F4A24">
        <w:rPr>
          <w:rFonts w:cs="Times New Roman"/>
          <w:color w:val="000000" w:themeColor="text1"/>
          <w:u w:color="000000" w:themeColor="text1"/>
        </w:rPr>
        <w:t>(13)</w:t>
      </w:r>
      <w:r w:rsidRPr="005F4A24">
        <w:rPr>
          <w:rFonts w:cs="Times New Roman"/>
          <w:color w:val="000000" w:themeColor="text1"/>
          <w:u w:color="000000" w:themeColor="text1"/>
        </w:rPr>
        <w:tab/>
        <w:t>the Attorney General and assistant attorneys general.</w:t>
      </w:r>
      <w:r w:rsidRPr="005F4A24">
        <w:rPr>
          <w:rFonts w:cs="Times New Roman"/>
          <w:snapToGrid w:val="0"/>
        </w:rPr>
        <w:t>”</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Concealable weapon permit</w:t>
      </w:r>
    </w:p>
    <w:p w:rsidR="009B1841" w:rsidRPr="00DE2922"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SECTION</w:t>
      </w:r>
      <w:r w:rsidRPr="005F4A24">
        <w:rPr>
          <w:rFonts w:cs="Times New Roman"/>
          <w:snapToGrid w:val="0"/>
        </w:rPr>
        <w:tab/>
        <w:t>12.</w:t>
      </w:r>
      <w:r w:rsidRPr="005F4A24">
        <w:rPr>
          <w:rFonts w:cs="Times New Roman"/>
          <w:snapToGrid w:val="0"/>
        </w:rPr>
        <w:tab/>
        <w:t>A.</w:t>
      </w:r>
      <w:r w:rsidRPr="005F4A24">
        <w:rPr>
          <w:rFonts w:cs="Times New Roman"/>
          <w:snapToGrid w:val="0"/>
        </w:rPr>
        <w:tab/>
      </w:r>
      <w:r>
        <w:rPr>
          <w:rFonts w:cs="Times New Roman"/>
          <w:snapToGrid w:val="0"/>
        </w:rPr>
        <w:t xml:space="preserve"> </w:t>
      </w:r>
      <w:r w:rsidRPr="005F4A24">
        <w:rPr>
          <w:rFonts w:cs="Times New Roman"/>
          <w:snapToGrid w:val="0"/>
        </w:rPr>
        <w:t>Section 23</w:t>
      </w:r>
      <w:r>
        <w:rPr>
          <w:rFonts w:cs="Times New Roman"/>
          <w:snapToGrid w:val="0"/>
        </w:rPr>
        <w:noBreakHyphen/>
      </w:r>
      <w:r w:rsidRPr="005F4A24">
        <w:rPr>
          <w:rFonts w:cs="Times New Roman"/>
          <w:snapToGrid w:val="0"/>
        </w:rPr>
        <w:t>31</w:t>
      </w:r>
      <w:r>
        <w:rPr>
          <w:rFonts w:cs="Times New Roman"/>
          <w:snapToGrid w:val="0"/>
        </w:rPr>
        <w:noBreakHyphen/>
      </w:r>
      <w:r w:rsidRPr="005F4A24">
        <w:rPr>
          <w:rFonts w:cs="Times New Roman"/>
          <w:snapToGrid w:val="0"/>
        </w:rPr>
        <w:t>215(A)(5), (6), and (7) of the 1976 Code is amended to read: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ab/>
        <w:t>“(5)</w:t>
      </w:r>
      <w:r w:rsidRPr="005F4A24">
        <w:rPr>
          <w:rFonts w:cs="Times New Roman"/>
          <w:snapToGrid w:val="0"/>
        </w:rPr>
        <w:tab/>
        <w:t>proof of training; and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(6)</w:t>
      </w:r>
      <w:r w:rsidRPr="005F4A24">
        <w:rPr>
          <w:rFonts w:cs="Times New Roman"/>
          <w:snapToGrid w:val="0"/>
        </w:rPr>
        <w:tab/>
        <w:t>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w:t>
      </w:r>
      <w:r>
        <w:rPr>
          <w:rFonts w:cs="Times New Roman"/>
          <w:snapToGrid w:val="0"/>
        </w:rPr>
        <w:t>’</w:t>
      </w:r>
      <w:r w:rsidRPr="005F4A24">
        <w:rPr>
          <w:rFonts w:cs="Times New Roman"/>
          <w:snapToGrid w:val="0"/>
        </w:rPr>
        <w:t xml:space="preserve">s fingerprints may not be taken. If all other qualifications are </w:t>
      </w:r>
      <w:r w:rsidRPr="005F4A24">
        <w:rPr>
          <w:rFonts w:cs="Times New Roman"/>
          <w:snapToGrid w:val="0"/>
        </w:rPr>
        <w:lastRenderedPageBreak/>
        <w:t>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4A24">
        <w:rPr>
          <w:rFonts w:cs="Times New Roman"/>
          <w:snapToGrid w:val="0"/>
        </w:rPr>
        <w:t>B.</w:t>
      </w:r>
      <w:r w:rsidRPr="005F4A24">
        <w:rPr>
          <w:rFonts w:cs="Times New Roman"/>
          <w:snapToGrid w:val="0"/>
        </w:rPr>
        <w:tab/>
        <w:t>Section 23</w:t>
      </w:r>
      <w:r>
        <w:rPr>
          <w:rFonts w:cs="Times New Roman"/>
          <w:snapToGrid w:val="0"/>
        </w:rPr>
        <w:noBreakHyphen/>
      </w:r>
      <w:r w:rsidRPr="005F4A24">
        <w:rPr>
          <w:rFonts w:cs="Times New Roman"/>
          <w:snapToGrid w:val="0"/>
        </w:rPr>
        <w:t>31</w:t>
      </w:r>
      <w:r>
        <w:rPr>
          <w:rFonts w:cs="Times New Roman"/>
          <w:snapToGrid w:val="0"/>
        </w:rPr>
        <w:noBreakHyphen/>
      </w:r>
      <w:r w:rsidRPr="005F4A24">
        <w:rPr>
          <w:rFonts w:cs="Times New Roman"/>
          <w:snapToGrid w:val="0"/>
        </w:rPr>
        <w:t>215(C) of the 1976 Code is amended to read:</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snapToGrid w:val="0"/>
        </w:rPr>
        <w:tab/>
        <w:t>“</w:t>
      </w:r>
      <w:r w:rsidRPr="005F4A24">
        <w:rPr>
          <w:rFonts w:cs="Times New Roman"/>
          <w:lang w:val="en-PH"/>
        </w:rPr>
        <w:t>(C)</w:t>
      </w:r>
      <w:r w:rsidRPr="005F4A24">
        <w:rPr>
          <w:rFonts w:cs="Times New Roman"/>
          <w:lang w:val="en-PH"/>
        </w:rPr>
        <w:tab/>
        <w:t>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Pr>
          <w:rFonts w:cs="Times New Roman"/>
          <w:lang w:val="en-PH"/>
        </w:rPr>
        <w:noBreakHyphen/>
      </w:r>
      <w:r w:rsidRPr="005F4A24">
        <w:rPr>
          <w:rFonts w:cs="Times New Roman"/>
          <w:lang w:val="en-PH"/>
        </w:rPr>
        <w:t>31</w:t>
      </w:r>
      <w:r>
        <w:rPr>
          <w:rFonts w:cs="Times New Roman"/>
          <w:lang w:val="en-PH"/>
        </w:rPr>
        <w:noBreakHyphen/>
      </w:r>
      <w:r w:rsidRPr="005F4A24">
        <w:rPr>
          <w:rFonts w:cs="Times New Roman"/>
          <w:lang w:val="en-PH"/>
        </w:rPr>
        <w:t>210(4), SLED shall offer the applicant a handgun training course that satisfies the requirements of Section 23</w:t>
      </w:r>
      <w:r>
        <w:rPr>
          <w:rFonts w:cs="Times New Roman"/>
          <w:lang w:val="en-PH"/>
        </w:rPr>
        <w:noBreakHyphen/>
      </w:r>
      <w:r w:rsidRPr="005F4A24">
        <w:rPr>
          <w:rFonts w:cs="Times New Roman"/>
          <w:lang w:val="en-PH"/>
        </w:rPr>
        <w:t>31</w:t>
      </w:r>
      <w:r>
        <w:rPr>
          <w:rFonts w:cs="Times New Roman"/>
          <w:lang w:val="en-PH"/>
        </w:rPr>
        <w:noBreakHyphen/>
      </w:r>
      <w:r w:rsidRPr="005F4A24">
        <w:rPr>
          <w:rFonts w:cs="Times New Roman"/>
          <w:lang w:val="en-PH"/>
        </w:rPr>
        <w:t>210(4).  SLED may not charge a fee of any kind for a concealable weapon permit.  If a permit is granted by operation of law because an applicant was not notified of a denial within the ninety</w:t>
      </w:r>
      <w:r>
        <w:rPr>
          <w:rFonts w:cs="Times New Roman"/>
          <w:lang w:val="en-PH"/>
        </w:rPr>
        <w:noBreakHyphen/>
      </w:r>
      <w:r w:rsidRPr="005F4A24">
        <w:rPr>
          <w:rFonts w:cs="Times New Roman"/>
          <w:lang w:val="en-PH"/>
        </w:rPr>
        <w:t>day notification period, the permit may be revoked upon written notification from SLED that sufficient grounds exist for revocation or initial denial.”</w:t>
      </w:r>
      <w:r w:rsidRPr="005F4A24">
        <w:rPr>
          <w:rFonts w:cs="Times New Roman"/>
          <w:snapToGrid w:val="0"/>
        </w:rPr>
        <w:tab/>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SECTION</w:t>
      </w:r>
      <w:r w:rsidRPr="005F4A24">
        <w:rPr>
          <w:rFonts w:cs="Times New Roman"/>
        </w:rPr>
        <w:tab/>
        <w:t>13.</w:t>
      </w:r>
      <w:r w:rsidRPr="005F4A24">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B1841" w:rsidRPr="00DE2922"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B1841" w:rsidRPr="005F4A24"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4A24">
        <w:rPr>
          <w:rFonts w:cs="Times New Roman"/>
        </w:rPr>
        <w:t>SECTION</w:t>
      </w:r>
      <w:r w:rsidRPr="005F4A24">
        <w:rPr>
          <w:rFonts w:cs="Times New Roman"/>
        </w:rPr>
        <w:tab/>
        <w:t>14.</w:t>
      </w:r>
      <w:r w:rsidRPr="005F4A24">
        <w:rPr>
          <w:rFonts w:cs="Times New Roman"/>
        </w:rPr>
        <w:tab/>
        <w:t>This act takes effect ninety days after approval by the Governor.</w:t>
      </w: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B1841" w:rsidRDefault="009B1841"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9B1841" w:rsidRDefault="009B1841" w:rsidP="009B1841">
      <w:pPr>
        <w:jc w:val="both"/>
        <w:rPr>
          <w:color w:val="000000" w:themeColor="text1"/>
        </w:rPr>
      </w:pPr>
    </w:p>
    <w:p w:rsidR="009B1841" w:rsidRDefault="009B1841" w:rsidP="009B1841">
      <w:pPr>
        <w:jc w:val="both"/>
        <w:rPr>
          <w:color w:val="000000" w:themeColor="text1"/>
        </w:rPr>
      </w:pPr>
      <w:r>
        <w:rPr>
          <w:color w:val="000000" w:themeColor="text1"/>
        </w:rPr>
        <w:t>Approved the 17</w:t>
      </w:r>
      <w:r w:rsidRPr="009D1385">
        <w:rPr>
          <w:color w:val="000000" w:themeColor="text1"/>
          <w:vertAlign w:val="superscript"/>
        </w:rPr>
        <w:t>th</w:t>
      </w:r>
      <w:r>
        <w:rPr>
          <w:color w:val="000000" w:themeColor="text1"/>
        </w:rPr>
        <w:t xml:space="preserve"> day of May, 2021. </w:t>
      </w:r>
    </w:p>
    <w:p w:rsidR="009B1841" w:rsidRDefault="009B1841" w:rsidP="009B1841">
      <w:pPr>
        <w:jc w:val="center"/>
        <w:rPr>
          <w:color w:val="000000" w:themeColor="text1"/>
        </w:rPr>
      </w:pPr>
    </w:p>
    <w:p w:rsidR="009B1841" w:rsidRDefault="009B1841" w:rsidP="009B1841">
      <w:pPr>
        <w:jc w:val="center"/>
        <w:rPr>
          <w:color w:val="000000" w:themeColor="text1"/>
        </w:rPr>
      </w:pPr>
      <w:r>
        <w:rPr>
          <w:color w:val="000000" w:themeColor="text1"/>
        </w:rPr>
        <w:t>__________</w:t>
      </w:r>
    </w:p>
    <w:p w:rsidR="00282B03" w:rsidRPr="00825751" w:rsidRDefault="00282B03" w:rsidP="009B1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82B03" w:rsidRPr="00825751" w:rsidSect="00282B03">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97F" w:rsidRDefault="002E197F" w:rsidP="007D5FAC">
      <w:r>
        <w:separator/>
      </w:r>
    </w:p>
  </w:endnote>
  <w:endnote w:type="continuationSeparator" w:id="0">
    <w:p w:rsidR="002E197F" w:rsidRDefault="002E197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03" w:rsidRPr="00282B03" w:rsidRDefault="00282B03" w:rsidP="00282B0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B1841">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03" w:rsidRDefault="00282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97F" w:rsidRDefault="002E197F" w:rsidP="007D5FAC">
      <w:r>
        <w:separator/>
      </w:r>
    </w:p>
  </w:footnote>
  <w:footnote w:type="continuationSeparator" w:id="0">
    <w:p w:rsidR="002E197F" w:rsidRDefault="002E197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094"/>
    <w:docVar w:name="ActSecretary" w:val="Thurmond"/>
    <w:docVar w:name="ActSIdno" w:val="(99)  3094CM21"/>
    <w:docVar w:name="clipname" w:val="3094CM21"/>
    <w:docVar w:name="dvBillNumber" w:val="3094"/>
    <w:docVar w:name="dvBillNumberPrefix" w:val="H"/>
    <w:docVar w:name="dvOriginalBody" w:val="House"/>
    <w:docVar w:name="HOUSEACTFULLPATH" w:val="L:\COUNCIL\ACTS\3094CM21.DOCX"/>
    <w:docVar w:name="OrigHOUSEBillNo" w:val="3094"/>
    <w:docVar w:name="WhatActtype" w:val="AN ACT"/>
  </w:docVars>
  <w:rsids>
    <w:rsidRoot w:val="00767D07"/>
    <w:rsid w:val="00002DE0"/>
    <w:rsid w:val="00020349"/>
    <w:rsid w:val="00020977"/>
    <w:rsid w:val="00021B0B"/>
    <w:rsid w:val="00040C05"/>
    <w:rsid w:val="0004579B"/>
    <w:rsid w:val="00051B4F"/>
    <w:rsid w:val="00060E60"/>
    <w:rsid w:val="00066A4F"/>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2C69"/>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B03"/>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197F"/>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36DB8"/>
    <w:rsid w:val="0034356D"/>
    <w:rsid w:val="0035740F"/>
    <w:rsid w:val="00360108"/>
    <w:rsid w:val="00360D70"/>
    <w:rsid w:val="00364D3F"/>
    <w:rsid w:val="0036610A"/>
    <w:rsid w:val="00366494"/>
    <w:rsid w:val="00370DA1"/>
    <w:rsid w:val="00372564"/>
    <w:rsid w:val="00372FF8"/>
    <w:rsid w:val="0038005A"/>
    <w:rsid w:val="00393F82"/>
    <w:rsid w:val="0039655A"/>
    <w:rsid w:val="00396C58"/>
    <w:rsid w:val="003A4535"/>
    <w:rsid w:val="003A6D96"/>
    <w:rsid w:val="003A7517"/>
    <w:rsid w:val="003A7B7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5328"/>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D7F5E"/>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5F55"/>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2221"/>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492F"/>
    <w:rsid w:val="006A515E"/>
    <w:rsid w:val="006A5B40"/>
    <w:rsid w:val="006A65C8"/>
    <w:rsid w:val="006A6F1D"/>
    <w:rsid w:val="006B151F"/>
    <w:rsid w:val="006B263A"/>
    <w:rsid w:val="006B4FA6"/>
    <w:rsid w:val="006C2574"/>
    <w:rsid w:val="006C7535"/>
    <w:rsid w:val="006C7D00"/>
    <w:rsid w:val="006D06B8"/>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7D07"/>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25751"/>
    <w:rsid w:val="00832F5E"/>
    <w:rsid w:val="00836D7F"/>
    <w:rsid w:val="00841A98"/>
    <w:rsid w:val="00841BFC"/>
    <w:rsid w:val="008449B6"/>
    <w:rsid w:val="00844DB5"/>
    <w:rsid w:val="00850549"/>
    <w:rsid w:val="008524CC"/>
    <w:rsid w:val="00855672"/>
    <w:rsid w:val="00860CD2"/>
    <w:rsid w:val="00862962"/>
    <w:rsid w:val="0086424F"/>
    <w:rsid w:val="00865315"/>
    <w:rsid w:val="00865A3F"/>
    <w:rsid w:val="008674BA"/>
    <w:rsid w:val="00870435"/>
    <w:rsid w:val="008733F2"/>
    <w:rsid w:val="008746A0"/>
    <w:rsid w:val="0087712C"/>
    <w:rsid w:val="008836A5"/>
    <w:rsid w:val="00892AF7"/>
    <w:rsid w:val="0089468D"/>
    <w:rsid w:val="008A658E"/>
    <w:rsid w:val="008B2051"/>
    <w:rsid w:val="008B347C"/>
    <w:rsid w:val="008B48BD"/>
    <w:rsid w:val="008C325E"/>
    <w:rsid w:val="008C4034"/>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13F6"/>
    <w:rsid w:val="0097332E"/>
    <w:rsid w:val="00974FD7"/>
    <w:rsid w:val="00980444"/>
    <w:rsid w:val="00982E93"/>
    <w:rsid w:val="00993266"/>
    <w:rsid w:val="00996296"/>
    <w:rsid w:val="009B0FA5"/>
    <w:rsid w:val="009B1841"/>
    <w:rsid w:val="009B1F99"/>
    <w:rsid w:val="009B6EA6"/>
    <w:rsid w:val="009C4C63"/>
    <w:rsid w:val="009D0B32"/>
    <w:rsid w:val="009D335B"/>
    <w:rsid w:val="009D75E7"/>
    <w:rsid w:val="009E704E"/>
    <w:rsid w:val="009F1B0F"/>
    <w:rsid w:val="009F231A"/>
    <w:rsid w:val="009F37C4"/>
    <w:rsid w:val="009F42DA"/>
    <w:rsid w:val="009F5E10"/>
    <w:rsid w:val="00A03978"/>
    <w:rsid w:val="00A050C0"/>
    <w:rsid w:val="00A062DB"/>
    <w:rsid w:val="00A07F7B"/>
    <w:rsid w:val="00A14F94"/>
    <w:rsid w:val="00A214A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6941"/>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0994"/>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29E8"/>
    <w:rsid w:val="00C45263"/>
    <w:rsid w:val="00C46AB4"/>
    <w:rsid w:val="00C55195"/>
    <w:rsid w:val="00C65E70"/>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4325"/>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2A1"/>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4E5A"/>
    <w:rsid w:val="00DD5167"/>
    <w:rsid w:val="00DD557D"/>
    <w:rsid w:val="00DE2922"/>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31A0"/>
    <w:rsid w:val="00F06DF9"/>
    <w:rsid w:val="00F07446"/>
    <w:rsid w:val="00F16F4D"/>
    <w:rsid w:val="00F178BC"/>
    <w:rsid w:val="00F21DD7"/>
    <w:rsid w:val="00F24361"/>
    <w:rsid w:val="00F25311"/>
    <w:rsid w:val="00F30608"/>
    <w:rsid w:val="00F30AAF"/>
    <w:rsid w:val="00F310E4"/>
    <w:rsid w:val="00F32ADB"/>
    <w:rsid w:val="00F348D3"/>
    <w:rsid w:val="00F34BF1"/>
    <w:rsid w:val="00F432E0"/>
    <w:rsid w:val="00F44E35"/>
    <w:rsid w:val="00F509CF"/>
    <w:rsid w:val="00F50C4A"/>
    <w:rsid w:val="00F51775"/>
    <w:rsid w:val="00F54582"/>
    <w:rsid w:val="00F61884"/>
    <w:rsid w:val="00F627EF"/>
    <w:rsid w:val="00F66E0E"/>
    <w:rsid w:val="00F721C4"/>
    <w:rsid w:val="00F7296A"/>
    <w:rsid w:val="00F73FC0"/>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7ECA4B6-78E2-492F-8ED9-C4101F72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82B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E1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97F"/>
    <w:rPr>
      <w:rFonts w:ascii="Segoe UI" w:hAnsi="Segoe UI" w:cs="Segoe UI"/>
      <w:sz w:val="18"/>
      <w:szCs w:val="18"/>
    </w:rPr>
  </w:style>
  <w:style w:type="table" w:styleId="TableGrid">
    <w:name w:val="Table Grid"/>
    <w:basedOn w:val="TableNormal"/>
    <w:uiPriority w:val="59"/>
    <w:rsid w:val="00C429E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82B0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36D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317.docx" TargetMode="External"/><Relationship Id="rId18" Type="http://schemas.openxmlformats.org/officeDocument/2006/relationships/hyperlink" Target="file:///h:\sj\20210504.docx" TargetMode="External"/><Relationship Id="rId26" Type="http://schemas.openxmlformats.org/officeDocument/2006/relationships/hyperlink" Target="http://www.scstatehouse.gov/billsearch.php?billnumbers=3094&amp;session=124&amp;summary=B"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h:\sj\20210506.docx" TargetMode="External"/><Relationship Id="rId34" Type="http://schemas.openxmlformats.org/officeDocument/2006/relationships/hyperlink" Target="file:///p:\pprever\2021-22\3094_20210505.docx" TargetMode="External"/><Relationship Id="rId7" Type="http://schemas.openxmlformats.org/officeDocument/2006/relationships/hyperlink" Target="file:///h:\hj\20210112.docx" TargetMode="External"/><Relationship Id="rId12" Type="http://schemas.openxmlformats.org/officeDocument/2006/relationships/hyperlink" Target="file:///h:\hj\20210317.docx" TargetMode="External"/><Relationship Id="rId17" Type="http://schemas.openxmlformats.org/officeDocument/2006/relationships/hyperlink" Target="file:///h:\sj\20210429.docx" TargetMode="External"/><Relationship Id="rId25" Type="http://schemas.openxmlformats.org/officeDocument/2006/relationships/hyperlink" Target="file:///h:\hj\20210512.docx" TargetMode="External"/><Relationship Id="rId33" Type="http://schemas.openxmlformats.org/officeDocument/2006/relationships/hyperlink" Target="file:///p:\pprever\2021-22\3094_20210429.doc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10429.docx" TargetMode="External"/><Relationship Id="rId20" Type="http://schemas.openxmlformats.org/officeDocument/2006/relationships/hyperlink" Target="file:///h:\sj\20210505.docx" TargetMode="External"/><Relationship Id="rId29" Type="http://schemas.openxmlformats.org/officeDocument/2006/relationships/hyperlink" Target="file:///p:\pprever\2021-22\3094_20210304.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17.docx" TargetMode="External"/><Relationship Id="rId24" Type="http://schemas.openxmlformats.org/officeDocument/2006/relationships/hyperlink" Target="file:///h:\hj\20210512.docx" TargetMode="External"/><Relationship Id="rId32" Type="http://schemas.openxmlformats.org/officeDocument/2006/relationships/hyperlink" Target="file:///p:\pprever\2021-22\3094_20210318A.docx" TargetMode="External"/><Relationship Id="rId37" Type="http://schemas.openxmlformats.org/officeDocument/2006/relationships/hyperlink" Target="file:///p:\pprever\2021-22\3094_20210507.doc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429.docx" TargetMode="External"/><Relationship Id="rId23" Type="http://schemas.openxmlformats.org/officeDocument/2006/relationships/hyperlink" Target="file:///h:\sj\20210506.docx" TargetMode="External"/><Relationship Id="rId28" Type="http://schemas.openxmlformats.org/officeDocument/2006/relationships/hyperlink" Target="file:///p:\pprever\2021-22\3094_20210303.docx" TargetMode="External"/><Relationship Id="rId36" Type="http://schemas.openxmlformats.org/officeDocument/2006/relationships/hyperlink" Target="file:///p:\pprever\2021-22\3094_20210506A.docx" TargetMode="External"/><Relationship Id="rId10" Type="http://schemas.openxmlformats.org/officeDocument/2006/relationships/hyperlink" Target="file:///h:\hj\20210309.docx" TargetMode="External"/><Relationship Id="rId19" Type="http://schemas.openxmlformats.org/officeDocument/2006/relationships/hyperlink" Target="file:///h:\sj\20210505.docx" TargetMode="External"/><Relationship Id="rId31" Type="http://schemas.openxmlformats.org/officeDocument/2006/relationships/hyperlink" Target="file:///p:\pprever\2021-22\3094_20210318.docx" TargetMode="External"/><Relationship Id="rId4" Type="http://schemas.openxmlformats.org/officeDocument/2006/relationships/webSettings" Target="webSettings.xml"/><Relationship Id="rId9" Type="http://schemas.openxmlformats.org/officeDocument/2006/relationships/hyperlink" Target="file:///h:\hj\20210303.docx" TargetMode="External"/><Relationship Id="rId14" Type="http://schemas.openxmlformats.org/officeDocument/2006/relationships/hyperlink" Target="file:///h:\sj\20210429.docx" TargetMode="External"/><Relationship Id="rId22" Type="http://schemas.openxmlformats.org/officeDocument/2006/relationships/hyperlink" Target="file:///h:\sj\20210506.docx" TargetMode="External"/><Relationship Id="rId27" Type="http://schemas.openxmlformats.org/officeDocument/2006/relationships/hyperlink" Target="file:///p:\pprever\2021-22\3094_20201209.docx" TargetMode="External"/><Relationship Id="rId30" Type="http://schemas.openxmlformats.org/officeDocument/2006/relationships/hyperlink" Target="file:///p:\pprever\2021-22\3094_20210317.docx" TargetMode="External"/><Relationship Id="rId35" Type="http://schemas.openxmlformats.org/officeDocument/2006/relationships/hyperlink" Target="file:///p:\pprever\2021-22\3094_202105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F7A1C-C50A-4F24-B300-6A13A5EC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4900</Words>
  <Characters>26019</Characters>
  <Application>Microsoft Office Word</Application>
  <DocSecurity>0</DocSecurity>
  <Lines>650</Lines>
  <Paragraphs>194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3094: Open Carry with Training Act - South Carolina Legislature Online</dc:title>
  <dc:subject/>
  <dc:creator>Gwen Thurmond</dc:creator>
  <cp:keywords/>
  <dc:description/>
  <cp:lastModifiedBy>Danny Crook</cp:lastModifiedBy>
  <cp:revision>2</cp:revision>
  <cp:lastPrinted>2021-05-12T21:16:00Z</cp:lastPrinted>
  <dcterms:created xsi:type="dcterms:W3CDTF">2021-06-14T13:16:00Z</dcterms:created>
  <dcterms:modified xsi:type="dcterms:W3CDTF">2021-06-14T13:16:00Z</dcterms:modified>
</cp:coreProperties>
</file>