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1C6F9" w14:textId="77777777" w:rsidR="001C701C" w:rsidRPr="001C701C" w:rsidRDefault="001C701C"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C701C">
        <w:rPr>
          <w:rFonts w:eastAsia="Times New Roman" w:cs="Times New Roman"/>
          <w:b/>
          <w:szCs w:val="20"/>
        </w:rPr>
        <w:t>South Carolina General Assembly</w:t>
      </w:r>
    </w:p>
    <w:p w14:paraId="006B1155" w14:textId="77777777" w:rsidR="001C701C" w:rsidRPr="001C701C" w:rsidRDefault="001C701C"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C701C">
        <w:rPr>
          <w:rFonts w:eastAsia="Times New Roman" w:cs="Times New Roman"/>
          <w:szCs w:val="20"/>
        </w:rPr>
        <w:t>124th Session, 2021-2022</w:t>
      </w:r>
    </w:p>
    <w:p w14:paraId="2684994F" w14:textId="77777777" w:rsidR="001C701C" w:rsidRPr="001C701C" w:rsidRDefault="001C701C"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7FA44B7" w14:textId="5B56D9AC" w:rsidR="001C701C" w:rsidRPr="001C701C" w:rsidRDefault="00E44309"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A142, R156, H3126</w:t>
      </w:r>
    </w:p>
    <w:p w14:paraId="672AFDBA" w14:textId="77777777" w:rsidR="001C701C" w:rsidRPr="001C701C" w:rsidRDefault="001C701C"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7754B79C" w14:textId="77777777" w:rsidR="001C701C" w:rsidRPr="001C701C" w:rsidRDefault="001C701C"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701C">
        <w:rPr>
          <w:rFonts w:eastAsia="Times New Roman" w:cs="Times New Roman"/>
          <w:b/>
          <w:szCs w:val="20"/>
        </w:rPr>
        <w:t>STATUS INFORMATION</w:t>
      </w:r>
    </w:p>
    <w:p w14:paraId="0814E339" w14:textId="77777777" w:rsidR="001C701C" w:rsidRPr="001C701C" w:rsidRDefault="001C701C"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45DA573" w14:textId="77777777" w:rsidR="001C701C" w:rsidRPr="001C701C" w:rsidRDefault="001C701C"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701C">
        <w:rPr>
          <w:rFonts w:eastAsia="Times New Roman" w:cs="Times New Roman"/>
          <w:szCs w:val="20"/>
        </w:rPr>
        <w:t>General Bill</w:t>
      </w:r>
    </w:p>
    <w:p w14:paraId="37A0F8E8" w14:textId="4F785427" w:rsidR="001C701C" w:rsidRPr="001C701C" w:rsidRDefault="006C3665"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Jones, Burns, Chumley, Magnuson, Taylor, Haddon, Long, Forrest, McCabe, Oremus, Hill, M.M. Smith, Huggins, Wooten, Ballentine, Bustos, B. Cox, Elliott, Trantham, Willis, Nutt, A.M. Morgan, McCravy, Thayer, V.S. Moss, Stringer, T. Moore, Allison, Hixon, Bennett, Fry, Kimmons, Davis and Murphy</w:t>
      </w:r>
    </w:p>
    <w:p w14:paraId="3579A4BD" w14:textId="77777777" w:rsidR="001C701C" w:rsidRPr="001C701C" w:rsidRDefault="001C701C"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701C">
        <w:rPr>
          <w:rFonts w:eastAsia="Times New Roman" w:cs="Times New Roman"/>
          <w:szCs w:val="20"/>
        </w:rPr>
        <w:t>Document Path: l:\council\bills\sm\20129sa21.docx</w:t>
      </w:r>
    </w:p>
    <w:p w14:paraId="16B1B2F1" w14:textId="77777777" w:rsidR="001C701C" w:rsidRPr="001C701C" w:rsidRDefault="001C701C"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A2A7795" w14:textId="77777777" w:rsidR="0045299D" w:rsidRDefault="0045299D"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14:paraId="0A3A532B" w14:textId="77777777" w:rsidR="0045299D" w:rsidRDefault="0045299D"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11, 2022</w:t>
      </w:r>
    </w:p>
    <w:p w14:paraId="7A954965" w14:textId="77777777" w:rsidR="0045299D" w:rsidRDefault="0045299D"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6, 2022</w:t>
      </w:r>
    </w:p>
    <w:p w14:paraId="4C2DB169" w14:textId="77777777" w:rsidR="0045299D" w:rsidRDefault="0045299D"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2022</w:t>
      </w:r>
    </w:p>
    <w:p w14:paraId="0FFBDD98" w14:textId="77777777" w:rsidR="0045299D" w:rsidRDefault="0045299D"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25, 2022, Signed</w:t>
      </w:r>
    </w:p>
    <w:p w14:paraId="4C70B888" w14:textId="77777777" w:rsidR="0045299D" w:rsidRDefault="0045299D"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B64089C" w14:textId="77777777" w:rsidR="001C701C" w:rsidRPr="001C701C" w:rsidRDefault="001C701C"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701C">
        <w:rPr>
          <w:rFonts w:eastAsia="Times New Roman" w:cs="Times New Roman"/>
          <w:szCs w:val="20"/>
        </w:rPr>
        <w:t>Summary: Vaccine mandates</w:t>
      </w:r>
    </w:p>
    <w:p w14:paraId="67AAFBEC" w14:textId="77777777" w:rsidR="001C701C" w:rsidRPr="001C701C" w:rsidRDefault="001C701C"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58F6FDE" w14:textId="77777777" w:rsidR="001C701C" w:rsidRPr="001C701C" w:rsidRDefault="001C701C"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AC3570B" w14:textId="77777777" w:rsidR="001C701C" w:rsidRPr="001C701C" w:rsidRDefault="001C701C" w:rsidP="001C701C">
      <w:pPr>
        <w:widowControl w:val="0"/>
        <w:tabs>
          <w:tab w:val="center" w:pos="590"/>
          <w:tab w:val="center" w:pos="1440"/>
          <w:tab w:val="left" w:pos="1872"/>
          <w:tab w:val="left" w:pos="9187"/>
        </w:tabs>
        <w:rPr>
          <w:rFonts w:eastAsia="Times New Roman" w:cs="Times New Roman"/>
          <w:szCs w:val="20"/>
        </w:rPr>
      </w:pPr>
      <w:r w:rsidRPr="001C701C">
        <w:rPr>
          <w:rFonts w:eastAsia="Times New Roman" w:cs="Times New Roman"/>
          <w:b/>
          <w:szCs w:val="20"/>
        </w:rPr>
        <w:t>HISTORY OF LEGISLATIVE ACTIONS</w:t>
      </w:r>
    </w:p>
    <w:p w14:paraId="02EEE7BD" w14:textId="77777777" w:rsidR="001C701C" w:rsidRPr="001C701C" w:rsidRDefault="001C701C" w:rsidP="001C701C">
      <w:pPr>
        <w:widowControl w:val="0"/>
        <w:tabs>
          <w:tab w:val="center" w:pos="590"/>
          <w:tab w:val="center" w:pos="1440"/>
          <w:tab w:val="left" w:pos="1872"/>
          <w:tab w:val="left" w:pos="9187"/>
        </w:tabs>
        <w:rPr>
          <w:rFonts w:eastAsia="Times New Roman" w:cs="Times New Roman"/>
          <w:szCs w:val="20"/>
        </w:rPr>
      </w:pPr>
    </w:p>
    <w:p w14:paraId="223CED9E" w14:textId="77777777" w:rsidR="001C701C" w:rsidRPr="001C701C" w:rsidRDefault="001C701C" w:rsidP="001C701C">
      <w:pPr>
        <w:widowControl w:val="0"/>
        <w:tabs>
          <w:tab w:val="center" w:pos="590"/>
          <w:tab w:val="center" w:pos="1440"/>
          <w:tab w:val="left" w:pos="1872"/>
          <w:tab w:val="left" w:pos="9187"/>
        </w:tabs>
        <w:rPr>
          <w:rFonts w:eastAsia="Times New Roman" w:cs="Times New Roman"/>
          <w:szCs w:val="20"/>
        </w:rPr>
      </w:pPr>
      <w:r w:rsidRPr="001C701C">
        <w:rPr>
          <w:rFonts w:eastAsia="Times New Roman" w:cs="Times New Roman"/>
          <w:szCs w:val="20"/>
          <w:u w:val="single"/>
        </w:rPr>
        <w:tab/>
        <w:t>Date</w:t>
      </w:r>
      <w:r w:rsidRPr="001C701C">
        <w:rPr>
          <w:rFonts w:eastAsia="Times New Roman" w:cs="Times New Roman"/>
          <w:szCs w:val="20"/>
          <w:u w:val="single"/>
        </w:rPr>
        <w:tab/>
        <w:t>Body</w:t>
      </w:r>
      <w:r w:rsidRPr="001C701C">
        <w:rPr>
          <w:rFonts w:eastAsia="Times New Roman" w:cs="Times New Roman"/>
          <w:szCs w:val="20"/>
          <w:u w:val="single"/>
        </w:rPr>
        <w:tab/>
        <w:t>Action Description with journal page number</w:t>
      </w:r>
      <w:r w:rsidRPr="001C701C">
        <w:rPr>
          <w:rFonts w:eastAsia="Times New Roman" w:cs="Times New Roman"/>
          <w:szCs w:val="20"/>
          <w:u w:val="single"/>
        </w:rPr>
        <w:tab/>
      </w:r>
    </w:p>
    <w:p w14:paraId="518CE438"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14:paraId="251C17CE"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BA6792">
        <w:rPr>
          <w:rFonts w:cs="Times New Roman"/>
          <w:b/>
        </w:rPr>
        <w:t>Ways and Means</w:t>
      </w:r>
    </w:p>
    <w:p w14:paraId="41C9FD0C"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BA6792">
          <w:rPr>
            <w:rStyle w:val="Hyperlink"/>
            <w:rFonts w:cs="Times New Roman"/>
          </w:rPr>
          <w:t>House Journal</w:t>
        </w:r>
        <w:r w:rsidRPr="00BA6792">
          <w:rPr>
            <w:rStyle w:val="Hyperlink"/>
            <w:rFonts w:cs="Times New Roman"/>
          </w:rPr>
          <w:noBreakHyphen/>
          <w:t>page 81</w:t>
        </w:r>
      </w:hyperlink>
      <w:r>
        <w:rPr>
          <w:rFonts w:cs="Times New Roman"/>
        </w:rPr>
        <w:t>)</w:t>
      </w:r>
    </w:p>
    <w:p w14:paraId="7CFD8C93"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BA6792">
        <w:rPr>
          <w:rFonts w:cs="Times New Roman"/>
          <w:b/>
        </w:rPr>
        <w:t>Ways and Means</w:t>
      </w:r>
      <w:r>
        <w:rPr>
          <w:rFonts w:cs="Times New Roman"/>
        </w:rPr>
        <w:t xml:space="preserve"> (</w:t>
      </w:r>
      <w:hyperlink r:id="rId8" w:history="1">
        <w:r w:rsidRPr="00BA6792">
          <w:rPr>
            <w:rStyle w:val="Hyperlink"/>
            <w:rFonts w:cs="Times New Roman"/>
          </w:rPr>
          <w:t>House Journal</w:t>
        </w:r>
        <w:r w:rsidRPr="00BA6792">
          <w:rPr>
            <w:rStyle w:val="Hyperlink"/>
            <w:rFonts w:cs="Times New Roman"/>
          </w:rPr>
          <w:noBreakHyphen/>
          <w:t>page 81</w:t>
        </w:r>
      </w:hyperlink>
      <w:r>
        <w:rPr>
          <w:rFonts w:cs="Times New Roman"/>
        </w:rPr>
        <w:t>)</w:t>
      </w:r>
    </w:p>
    <w:p w14:paraId="2606CDBA"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Member(s) request name added as sponsor: Hill</w:t>
      </w:r>
    </w:p>
    <w:p w14:paraId="6E0F28D1"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Member(s) request name added as sponsor: M.M.Smith, Huggins, Wooten, Ballentine, Bustos, B.Cox, Elliott, Trantham, Willis, Nutt, Morgan, McCravy, Thayer, Dillard, V.S.Moss, Stringer, T.Moore, Allison, Hixon, Bennett</w:t>
      </w:r>
    </w:p>
    <w:p w14:paraId="569DC85E"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12/9/2021</w:t>
      </w:r>
      <w:r>
        <w:rPr>
          <w:rFonts w:cs="Times New Roman"/>
        </w:rPr>
        <w:tab/>
        <w:t>House</w:t>
      </w:r>
      <w:r>
        <w:rPr>
          <w:rFonts w:cs="Times New Roman"/>
        </w:rPr>
        <w:tab/>
        <w:t>Member(s) request name removed as sponsor: Dillard</w:t>
      </w:r>
    </w:p>
    <w:p w14:paraId="7E1CB475"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12/9/2021</w:t>
      </w:r>
      <w:r>
        <w:rPr>
          <w:rFonts w:cs="Times New Roman"/>
        </w:rPr>
        <w:tab/>
        <w:t>House</w:t>
      </w:r>
      <w:r>
        <w:rPr>
          <w:rFonts w:cs="Times New Roman"/>
        </w:rPr>
        <w:tab/>
        <w:t>Member(s) request name added as sponsor: Fry</w:t>
      </w:r>
    </w:p>
    <w:p w14:paraId="2E43E571"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12/9/2021</w:t>
      </w:r>
      <w:r>
        <w:rPr>
          <w:rFonts w:cs="Times New Roman"/>
        </w:rPr>
        <w:tab/>
        <w:t>House</w:t>
      </w:r>
      <w:r>
        <w:rPr>
          <w:rFonts w:cs="Times New Roman"/>
        </w:rPr>
        <w:tab/>
        <w:t xml:space="preserve">Committee report: Favorable with amendment </w:t>
      </w:r>
      <w:r w:rsidRPr="00BA6792">
        <w:rPr>
          <w:rFonts w:cs="Times New Roman"/>
          <w:b/>
        </w:rPr>
        <w:t>Ways and Means</w:t>
      </w:r>
      <w:r>
        <w:rPr>
          <w:rFonts w:cs="Times New Roman"/>
        </w:rPr>
        <w:t xml:space="preserve"> (</w:t>
      </w:r>
      <w:hyperlink r:id="rId9" w:history="1">
        <w:r w:rsidRPr="00BA6792">
          <w:rPr>
            <w:rStyle w:val="Hyperlink"/>
            <w:rFonts w:cs="Times New Roman"/>
          </w:rPr>
          <w:t>House Journal</w:t>
        </w:r>
        <w:r w:rsidRPr="00BA6792">
          <w:rPr>
            <w:rStyle w:val="Hyperlink"/>
            <w:rFonts w:cs="Times New Roman"/>
          </w:rPr>
          <w:noBreakHyphen/>
          <w:t>page 2</w:t>
        </w:r>
      </w:hyperlink>
      <w:r>
        <w:rPr>
          <w:rFonts w:cs="Times New Roman"/>
        </w:rPr>
        <w:t>)</w:t>
      </w:r>
    </w:p>
    <w:p w14:paraId="7DC5DA1E"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12/9/2021</w:t>
      </w:r>
      <w:r>
        <w:rPr>
          <w:rFonts w:cs="Times New Roman"/>
        </w:rPr>
        <w:tab/>
        <w:t>House</w:t>
      </w:r>
      <w:r>
        <w:rPr>
          <w:rFonts w:cs="Times New Roman"/>
        </w:rPr>
        <w:tab/>
        <w:t>Special order, set for  immediately upon adoption of H. 4493 (</w:t>
      </w:r>
      <w:hyperlink r:id="rId10" w:history="1">
        <w:r w:rsidRPr="00BA6792">
          <w:rPr>
            <w:rStyle w:val="Hyperlink"/>
            <w:rFonts w:cs="Times New Roman"/>
          </w:rPr>
          <w:t>House Journal</w:t>
        </w:r>
        <w:r w:rsidRPr="00BA6792">
          <w:rPr>
            <w:rStyle w:val="Hyperlink"/>
            <w:rFonts w:cs="Times New Roman"/>
          </w:rPr>
          <w:noBreakHyphen/>
          <w:t>page 7</w:t>
        </w:r>
      </w:hyperlink>
      <w:r>
        <w:rPr>
          <w:rFonts w:cs="Times New Roman"/>
        </w:rPr>
        <w:t>)</w:t>
      </w:r>
    </w:p>
    <w:p w14:paraId="2A4DA856"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12/9/2021</w:t>
      </w:r>
      <w:r>
        <w:rPr>
          <w:rFonts w:cs="Times New Roman"/>
        </w:rPr>
        <w:tab/>
        <w:t>House</w:t>
      </w:r>
      <w:r>
        <w:rPr>
          <w:rFonts w:cs="Times New Roman"/>
        </w:rPr>
        <w:tab/>
        <w:t>Member(s) request name added as sponsor: Kimmons, Davis, Murphy</w:t>
      </w:r>
    </w:p>
    <w:p w14:paraId="003FB367"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12/9/2021</w:t>
      </w:r>
      <w:r>
        <w:rPr>
          <w:rFonts w:cs="Times New Roman"/>
        </w:rPr>
        <w:tab/>
        <w:t>House</w:t>
      </w:r>
      <w:r>
        <w:rPr>
          <w:rFonts w:cs="Times New Roman"/>
        </w:rPr>
        <w:tab/>
        <w:t>Amended (</w:t>
      </w:r>
      <w:hyperlink r:id="rId11" w:history="1">
        <w:r w:rsidRPr="00BA6792">
          <w:rPr>
            <w:rStyle w:val="Hyperlink"/>
            <w:rFonts w:cs="Times New Roman"/>
          </w:rPr>
          <w:t>House Journal</w:t>
        </w:r>
        <w:r w:rsidRPr="00BA6792">
          <w:rPr>
            <w:rStyle w:val="Hyperlink"/>
            <w:rFonts w:cs="Times New Roman"/>
          </w:rPr>
          <w:noBreakHyphen/>
          <w:t>page 10</w:t>
        </w:r>
      </w:hyperlink>
      <w:r>
        <w:rPr>
          <w:rFonts w:cs="Times New Roman"/>
        </w:rPr>
        <w:t>)</w:t>
      </w:r>
    </w:p>
    <w:p w14:paraId="26D226D3"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12/9/2021</w:t>
      </w:r>
      <w:r>
        <w:rPr>
          <w:rFonts w:cs="Times New Roman"/>
        </w:rPr>
        <w:tab/>
        <w:t>House</w:t>
      </w:r>
      <w:r>
        <w:rPr>
          <w:rFonts w:cs="Times New Roman"/>
        </w:rPr>
        <w:tab/>
        <w:t>Read second time (</w:t>
      </w:r>
      <w:hyperlink r:id="rId12" w:history="1">
        <w:r w:rsidRPr="00BA6792">
          <w:rPr>
            <w:rStyle w:val="Hyperlink"/>
            <w:rFonts w:cs="Times New Roman"/>
          </w:rPr>
          <w:t>House Journal</w:t>
        </w:r>
        <w:r w:rsidRPr="00BA6792">
          <w:rPr>
            <w:rStyle w:val="Hyperlink"/>
            <w:rFonts w:cs="Times New Roman"/>
          </w:rPr>
          <w:noBreakHyphen/>
          <w:t>page 10</w:t>
        </w:r>
      </w:hyperlink>
      <w:r>
        <w:rPr>
          <w:rFonts w:cs="Times New Roman"/>
        </w:rPr>
        <w:t>)</w:t>
      </w:r>
    </w:p>
    <w:p w14:paraId="67282D2A"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12/9/2021</w:t>
      </w:r>
      <w:r>
        <w:rPr>
          <w:rFonts w:cs="Times New Roman"/>
        </w:rPr>
        <w:tab/>
        <w:t>House</w:t>
      </w:r>
      <w:r>
        <w:rPr>
          <w:rFonts w:cs="Times New Roman"/>
        </w:rPr>
        <w:tab/>
        <w:t>Roll call Yeas</w:t>
      </w:r>
      <w:r>
        <w:rPr>
          <w:rFonts w:cs="Times New Roman"/>
        </w:rPr>
        <w:noBreakHyphen/>
        <w:t>67  Nays</w:t>
      </w:r>
      <w:r>
        <w:rPr>
          <w:rFonts w:cs="Times New Roman"/>
        </w:rPr>
        <w:noBreakHyphen/>
        <w:t>31 (</w:t>
      </w:r>
      <w:hyperlink r:id="rId13" w:history="1">
        <w:r w:rsidRPr="00BA6792">
          <w:rPr>
            <w:rStyle w:val="Hyperlink"/>
            <w:rFonts w:cs="Times New Roman"/>
          </w:rPr>
          <w:t>House Journal</w:t>
        </w:r>
        <w:r w:rsidRPr="00BA6792">
          <w:rPr>
            <w:rStyle w:val="Hyperlink"/>
            <w:rFonts w:cs="Times New Roman"/>
          </w:rPr>
          <w:noBreakHyphen/>
          <w:t>page 36</w:t>
        </w:r>
      </w:hyperlink>
      <w:r>
        <w:rPr>
          <w:rFonts w:cs="Times New Roman"/>
        </w:rPr>
        <w:t>)</w:t>
      </w:r>
    </w:p>
    <w:p w14:paraId="0B599B8C"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12/10/2021</w:t>
      </w:r>
      <w:r>
        <w:rPr>
          <w:rFonts w:cs="Times New Roman"/>
        </w:rPr>
        <w:tab/>
        <w:t>House</w:t>
      </w:r>
      <w:r>
        <w:rPr>
          <w:rFonts w:cs="Times New Roman"/>
        </w:rPr>
        <w:tab/>
        <w:t>Read third time and sent to Senate (</w:t>
      </w:r>
      <w:hyperlink r:id="rId14" w:history="1">
        <w:r w:rsidRPr="00BA6792">
          <w:rPr>
            <w:rStyle w:val="Hyperlink"/>
            <w:rFonts w:cs="Times New Roman"/>
          </w:rPr>
          <w:t>House Journal</w:t>
        </w:r>
        <w:r w:rsidRPr="00BA6792">
          <w:rPr>
            <w:rStyle w:val="Hyperlink"/>
            <w:rFonts w:cs="Times New Roman"/>
          </w:rPr>
          <w:noBreakHyphen/>
          <w:t>page 3</w:t>
        </w:r>
      </w:hyperlink>
      <w:r>
        <w:rPr>
          <w:rFonts w:cs="Times New Roman"/>
        </w:rPr>
        <w:t>)</w:t>
      </w:r>
    </w:p>
    <w:p w14:paraId="07B103EF"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12/10/2021</w:t>
      </w:r>
      <w:r>
        <w:rPr>
          <w:rFonts w:cs="Times New Roman"/>
        </w:rPr>
        <w:tab/>
        <w:t>House</w:t>
      </w:r>
      <w:r>
        <w:rPr>
          <w:rFonts w:cs="Times New Roman"/>
        </w:rPr>
        <w:tab/>
        <w:t>Roll call Yeas</w:t>
      </w:r>
      <w:r>
        <w:rPr>
          <w:rFonts w:cs="Times New Roman"/>
        </w:rPr>
        <w:noBreakHyphen/>
        <w:t>60  Nays</w:t>
      </w:r>
      <w:r>
        <w:rPr>
          <w:rFonts w:cs="Times New Roman"/>
        </w:rPr>
        <w:noBreakHyphen/>
        <w:t>25 (</w:t>
      </w:r>
      <w:hyperlink r:id="rId15" w:history="1">
        <w:r w:rsidRPr="00BA6792">
          <w:rPr>
            <w:rStyle w:val="Hyperlink"/>
            <w:rFonts w:cs="Times New Roman"/>
          </w:rPr>
          <w:t>House Journal</w:t>
        </w:r>
        <w:r w:rsidRPr="00BA6792">
          <w:rPr>
            <w:rStyle w:val="Hyperlink"/>
            <w:rFonts w:cs="Times New Roman"/>
          </w:rPr>
          <w:noBreakHyphen/>
          <w:t>page 3</w:t>
        </w:r>
      </w:hyperlink>
      <w:r>
        <w:rPr>
          <w:rFonts w:cs="Times New Roman"/>
        </w:rPr>
        <w:t>)</w:t>
      </w:r>
    </w:p>
    <w:p w14:paraId="2CF09289"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Senate</w:t>
      </w:r>
      <w:r>
        <w:rPr>
          <w:rFonts w:cs="Times New Roman"/>
        </w:rPr>
        <w:tab/>
        <w:t>Introduced and read first time (</w:t>
      </w:r>
      <w:hyperlink r:id="rId16" w:history="1">
        <w:r w:rsidRPr="00BA6792">
          <w:rPr>
            <w:rStyle w:val="Hyperlink"/>
            <w:rFonts w:cs="Times New Roman"/>
          </w:rPr>
          <w:t>Senate Journal</w:t>
        </w:r>
        <w:r w:rsidRPr="00BA6792">
          <w:rPr>
            <w:rStyle w:val="Hyperlink"/>
            <w:rFonts w:cs="Times New Roman"/>
          </w:rPr>
          <w:noBreakHyphen/>
          <w:t>page 23</w:t>
        </w:r>
      </w:hyperlink>
      <w:r>
        <w:rPr>
          <w:rFonts w:cs="Times New Roman"/>
        </w:rPr>
        <w:t>)</w:t>
      </w:r>
    </w:p>
    <w:p w14:paraId="243259C7"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Senate</w:t>
      </w:r>
      <w:r>
        <w:rPr>
          <w:rFonts w:cs="Times New Roman"/>
        </w:rPr>
        <w:tab/>
        <w:t xml:space="preserve">Referred to Committee on </w:t>
      </w:r>
      <w:r w:rsidRPr="00BA6792">
        <w:rPr>
          <w:rFonts w:cs="Times New Roman"/>
          <w:b/>
        </w:rPr>
        <w:t>Finance</w:t>
      </w:r>
      <w:r>
        <w:rPr>
          <w:rFonts w:cs="Times New Roman"/>
        </w:rPr>
        <w:t xml:space="preserve"> (</w:t>
      </w:r>
      <w:hyperlink r:id="rId17" w:history="1">
        <w:r w:rsidRPr="00BA6792">
          <w:rPr>
            <w:rStyle w:val="Hyperlink"/>
            <w:rFonts w:cs="Times New Roman"/>
          </w:rPr>
          <w:t>Senate Journal</w:t>
        </w:r>
        <w:r w:rsidRPr="00BA6792">
          <w:rPr>
            <w:rStyle w:val="Hyperlink"/>
            <w:rFonts w:cs="Times New Roman"/>
          </w:rPr>
          <w:noBreakHyphen/>
          <w:t>page 23</w:t>
        </w:r>
      </w:hyperlink>
      <w:r>
        <w:rPr>
          <w:rFonts w:cs="Times New Roman"/>
        </w:rPr>
        <w:t>)</w:t>
      </w:r>
    </w:p>
    <w:p w14:paraId="3AAAF020"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 xml:space="preserve">Committee report: Favorable with amendment </w:t>
      </w:r>
      <w:r w:rsidRPr="00BA6792">
        <w:rPr>
          <w:rFonts w:cs="Times New Roman"/>
          <w:b/>
        </w:rPr>
        <w:t>Finance</w:t>
      </w:r>
    </w:p>
    <w:p w14:paraId="4ACAC461"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r>
      <w:r>
        <w:rPr>
          <w:rFonts w:cs="Times New Roman"/>
        </w:rPr>
        <w:tab/>
        <w:t>Scrivener's error corrected</w:t>
      </w:r>
    </w:p>
    <w:p w14:paraId="5FDCA563"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r>
      <w:r>
        <w:rPr>
          <w:rFonts w:cs="Times New Roman"/>
        </w:rPr>
        <w:tab/>
        <w:t>Scrivener's error corrected</w:t>
      </w:r>
    </w:p>
    <w:p w14:paraId="2EC1B33D"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Special order, set for  April 5, 2022 (</w:t>
      </w:r>
      <w:hyperlink r:id="rId18" w:history="1">
        <w:r w:rsidRPr="00BA6792">
          <w:rPr>
            <w:rStyle w:val="Hyperlink"/>
            <w:rFonts w:cs="Times New Roman"/>
          </w:rPr>
          <w:t>Senate Journal</w:t>
        </w:r>
        <w:r w:rsidRPr="00BA6792">
          <w:rPr>
            <w:rStyle w:val="Hyperlink"/>
            <w:rFonts w:cs="Times New Roman"/>
          </w:rPr>
          <w:noBreakHyphen/>
          <w:t>page 57</w:t>
        </w:r>
      </w:hyperlink>
      <w:r>
        <w:rPr>
          <w:rFonts w:cs="Times New Roman"/>
        </w:rPr>
        <w:t>)</w:t>
      </w:r>
    </w:p>
    <w:p w14:paraId="5805F0B1"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Amended (</w:t>
      </w:r>
      <w:hyperlink r:id="rId19" w:history="1">
        <w:r w:rsidRPr="00BA6792">
          <w:rPr>
            <w:rStyle w:val="Hyperlink"/>
            <w:rFonts w:cs="Times New Roman"/>
          </w:rPr>
          <w:t>Senate Journal</w:t>
        </w:r>
        <w:r w:rsidRPr="00BA6792">
          <w:rPr>
            <w:rStyle w:val="Hyperlink"/>
            <w:rFonts w:cs="Times New Roman"/>
          </w:rPr>
          <w:noBreakHyphen/>
          <w:t>page 58</w:t>
        </w:r>
      </w:hyperlink>
      <w:r>
        <w:rPr>
          <w:rFonts w:cs="Times New Roman"/>
        </w:rPr>
        <w:t>)</w:t>
      </w:r>
    </w:p>
    <w:p w14:paraId="76EFA5B7"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Read second time (</w:t>
      </w:r>
      <w:hyperlink r:id="rId20" w:history="1">
        <w:r w:rsidRPr="00BA6792">
          <w:rPr>
            <w:rStyle w:val="Hyperlink"/>
            <w:rFonts w:cs="Times New Roman"/>
          </w:rPr>
          <w:t>Senate Journal</w:t>
        </w:r>
        <w:r w:rsidRPr="00BA6792">
          <w:rPr>
            <w:rStyle w:val="Hyperlink"/>
            <w:rFonts w:cs="Times New Roman"/>
          </w:rPr>
          <w:noBreakHyphen/>
          <w:t>page 58</w:t>
        </w:r>
      </w:hyperlink>
      <w:r>
        <w:rPr>
          <w:rFonts w:cs="Times New Roman"/>
        </w:rPr>
        <w:t>)</w:t>
      </w:r>
    </w:p>
    <w:p w14:paraId="62B56181"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r>
      <w:r>
        <w:rPr>
          <w:rFonts w:cs="Times New Roman"/>
        </w:rPr>
        <w:tab/>
        <w:t>Scrivener's error corrected</w:t>
      </w:r>
    </w:p>
    <w:p w14:paraId="636A6DCC"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lastRenderedPageBreak/>
        <w:tab/>
        <w:t>4/6/2022</w:t>
      </w:r>
      <w:r>
        <w:rPr>
          <w:rFonts w:cs="Times New Roman"/>
        </w:rPr>
        <w:tab/>
        <w:t>Senate</w:t>
      </w:r>
      <w:r>
        <w:rPr>
          <w:rFonts w:cs="Times New Roman"/>
        </w:rPr>
        <w:tab/>
        <w:t>Amended (</w:t>
      </w:r>
      <w:hyperlink r:id="rId21" w:history="1">
        <w:r w:rsidRPr="00BA6792">
          <w:rPr>
            <w:rStyle w:val="Hyperlink"/>
            <w:rFonts w:cs="Times New Roman"/>
          </w:rPr>
          <w:t>Senate Journal</w:t>
        </w:r>
        <w:r w:rsidRPr="00BA6792">
          <w:rPr>
            <w:rStyle w:val="Hyperlink"/>
            <w:rFonts w:cs="Times New Roman"/>
          </w:rPr>
          <w:noBreakHyphen/>
          <w:t>page 108</w:t>
        </w:r>
      </w:hyperlink>
      <w:r>
        <w:rPr>
          <w:rFonts w:cs="Times New Roman"/>
        </w:rPr>
        <w:t>)</w:t>
      </w:r>
    </w:p>
    <w:p w14:paraId="05032672"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Committee Amendment Withdrawn (</w:t>
      </w:r>
      <w:hyperlink r:id="rId22" w:history="1">
        <w:r w:rsidRPr="00BA6792">
          <w:rPr>
            <w:rStyle w:val="Hyperlink"/>
            <w:rFonts w:cs="Times New Roman"/>
          </w:rPr>
          <w:t>Senate Journal</w:t>
        </w:r>
        <w:r w:rsidRPr="00BA6792">
          <w:rPr>
            <w:rStyle w:val="Hyperlink"/>
            <w:rFonts w:cs="Times New Roman"/>
          </w:rPr>
          <w:noBreakHyphen/>
          <w:t>page 108</w:t>
        </w:r>
      </w:hyperlink>
      <w:r>
        <w:rPr>
          <w:rFonts w:cs="Times New Roman"/>
        </w:rPr>
        <w:t>)</w:t>
      </w:r>
    </w:p>
    <w:p w14:paraId="64E69623"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Read third time and returned to House with amendments (</w:t>
      </w:r>
      <w:hyperlink r:id="rId23" w:history="1">
        <w:r w:rsidRPr="00BA6792">
          <w:rPr>
            <w:rStyle w:val="Hyperlink"/>
            <w:rFonts w:cs="Times New Roman"/>
          </w:rPr>
          <w:t>Senate Journal</w:t>
        </w:r>
        <w:r w:rsidRPr="00BA6792">
          <w:rPr>
            <w:rStyle w:val="Hyperlink"/>
            <w:rFonts w:cs="Times New Roman"/>
          </w:rPr>
          <w:noBreakHyphen/>
          <w:t>page 108</w:t>
        </w:r>
      </w:hyperlink>
      <w:r>
        <w:rPr>
          <w:rFonts w:cs="Times New Roman"/>
        </w:rPr>
        <w:t>)</w:t>
      </w:r>
    </w:p>
    <w:p w14:paraId="7D1ABBCA"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Roll call Ayes</w:t>
      </w:r>
      <w:r>
        <w:rPr>
          <w:rFonts w:cs="Times New Roman"/>
        </w:rPr>
        <w:noBreakHyphen/>
        <w:t>29  Nays</w:t>
      </w:r>
      <w:r>
        <w:rPr>
          <w:rFonts w:cs="Times New Roman"/>
        </w:rPr>
        <w:noBreakHyphen/>
        <w:t>12 (</w:t>
      </w:r>
      <w:hyperlink r:id="rId24" w:history="1">
        <w:r w:rsidRPr="00BA6792">
          <w:rPr>
            <w:rStyle w:val="Hyperlink"/>
            <w:rFonts w:cs="Times New Roman"/>
          </w:rPr>
          <w:t>Senate Journal</w:t>
        </w:r>
        <w:r w:rsidRPr="00BA6792">
          <w:rPr>
            <w:rStyle w:val="Hyperlink"/>
            <w:rFonts w:cs="Times New Roman"/>
          </w:rPr>
          <w:noBreakHyphen/>
          <w:t>page 108</w:t>
        </w:r>
      </w:hyperlink>
      <w:r>
        <w:rPr>
          <w:rFonts w:cs="Times New Roman"/>
        </w:rPr>
        <w:t>)</w:t>
      </w:r>
    </w:p>
    <w:p w14:paraId="05A336FD"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Scrivener's error corrected</w:t>
      </w:r>
    </w:p>
    <w:p w14:paraId="61812C19"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4/8/2022</w:t>
      </w:r>
      <w:r>
        <w:rPr>
          <w:rFonts w:cs="Times New Roman"/>
        </w:rPr>
        <w:tab/>
      </w:r>
      <w:r>
        <w:rPr>
          <w:rFonts w:cs="Times New Roman"/>
        </w:rPr>
        <w:tab/>
        <w:t>Scrivener's error corrected</w:t>
      </w:r>
    </w:p>
    <w:p w14:paraId="3385B105"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Concurred in Senate amendment and enrolled (</w:t>
      </w:r>
      <w:hyperlink r:id="rId25" w:history="1">
        <w:r w:rsidRPr="00BA6792">
          <w:rPr>
            <w:rStyle w:val="Hyperlink"/>
            <w:rFonts w:cs="Times New Roman"/>
          </w:rPr>
          <w:t>House Journal</w:t>
        </w:r>
        <w:r w:rsidRPr="00BA6792">
          <w:rPr>
            <w:rStyle w:val="Hyperlink"/>
            <w:rFonts w:cs="Times New Roman"/>
          </w:rPr>
          <w:noBreakHyphen/>
          <w:t>page 16</w:t>
        </w:r>
      </w:hyperlink>
      <w:r>
        <w:rPr>
          <w:rFonts w:cs="Times New Roman"/>
        </w:rPr>
        <w:t>)</w:t>
      </w:r>
    </w:p>
    <w:p w14:paraId="2AE4E2E9"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Roll call Yeas</w:t>
      </w:r>
      <w:r>
        <w:rPr>
          <w:rFonts w:cs="Times New Roman"/>
        </w:rPr>
        <w:noBreakHyphen/>
        <w:t>76  Nays</w:t>
      </w:r>
      <w:r>
        <w:rPr>
          <w:rFonts w:cs="Times New Roman"/>
        </w:rPr>
        <w:noBreakHyphen/>
        <w:t>34 (</w:t>
      </w:r>
      <w:hyperlink r:id="rId26" w:history="1">
        <w:r w:rsidRPr="00BA6792">
          <w:rPr>
            <w:rStyle w:val="Hyperlink"/>
            <w:rFonts w:cs="Times New Roman"/>
          </w:rPr>
          <w:t>House Journal</w:t>
        </w:r>
        <w:r w:rsidRPr="00BA6792">
          <w:rPr>
            <w:rStyle w:val="Hyperlink"/>
            <w:rFonts w:cs="Times New Roman"/>
          </w:rPr>
          <w:noBreakHyphen/>
          <w:t>page 16</w:t>
        </w:r>
      </w:hyperlink>
      <w:r>
        <w:rPr>
          <w:rFonts w:cs="Times New Roman"/>
        </w:rPr>
        <w:t>)</w:t>
      </w:r>
    </w:p>
    <w:p w14:paraId="29E1D32C"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Ratified R  156</w:t>
      </w:r>
    </w:p>
    <w:p w14:paraId="576F003F"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r>
      <w:r>
        <w:rPr>
          <w:rFonts w:cs="Times New Roman"/>
        </w:rPr>
        <w:tab/>
        <w:t>Signed By Governor</w:t>
      </w:r>
    </w:p>
    <w:p w14:paraId="586952BE"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Effective date  04/25/22</w:t>
      </w:r>
    </w:p>
    <w:p w14:paraId="5B982567" w14:textId="77777777" w:rsidR="00E44309" w:rsidRDefault="00E44309" w:rsidP="00E44309">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Act No.  142</w:t>
      </w:r>
    </w:p>
    <w:p w14:paraId="76DFCD36" w14:textId="77777777" w:rsidR="00E44309" w:rsidRDefault="00E44309" w:rsidP="00E44309">
      <w:pPr>
        <w:widowControl w:val="0"/>
        <w:tabs>
          <w:tab w:val="right" w:pos="1008"/>
          <w:tab w:val="left" w:pos="1152"/>
          <w:tab w:val="left" w:pos="1872"/>
          <w:tab w:val="left" w:pos="9187"/>
        </w:tabs>
        <w:ind w:left="2088" w:hanging="2088"/>
        <w:rPr>
          <w:rFonts w:cs="Times New Roman"/>
        </w:rPr>
      </w:pPr>
    </w:p>
    <w:p w14:paraId="123F89A7" w14:textId="77777777" w:rsidR="001C701C" w:rsidRPr="001C701C" w:rsidRDefault="001C701C" w:rsidP="001C701C">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1C701C">
        <w:rPr>
          <w:rFonts w:eastAsia="Times New Roman" w:cs="Times New Roman"/>
          <w:szCs w:val="20"/>
        </w:rPr>
        <w:t xml:space="preserve">View the latest </w:t>
      </w:r>
      <w:hyperlink r:id="rId27" w:history="1">
        <w:r w:rsidRPr="001C701C">
          <w:rPr>
            <w:rFonts w:eastAsia="Times New Roman" w:cs="Times New Roman"/>
            <w:color w:val="0000FF" w:themeColor="hyperlink"/>
            <w:szCs w:val="20"/>
            <w:u w:val="single"/>
          </w:rPr>
          <w:t>legislative information</w:t>
        </w:r>
      </w:hyperlink>
      <w:r w:rsidRPr="001C701C">
        <w:rPr>
          <w:rFonts w:eastAsia="Times New Roman" w:cs="Times New Roman"/>
          <w:szCs w:val="20"/>
        </w:rPr>
        <w:t xml:space="preserve"> at the website</w:t>
      </w:r>
    </w:p>
    <w:p w14:paraId="2A908A29" w14:textId="77777777" w:rsidR="001C701C" w:rsidRPr="001C701C" w:rsidRDefault="001C701C" w:rsidP="001C701C">
      <w:pPr>
        <w:widowControl w:val="0"/>
        <w:tabs>
          <w:tab w:val="right" w:pos="1008"/>
          <w:tab w:val="left" w:pos="1152"/>
          <w:tab w:val="left" w:pos="1872"/>
          <w:tab w:val="left" w:pos="9187"/>
        </w:tabs>
        <w:ind w:left="2088" w:hanging="2088"/>
        <w:rPr>
          <w:rFonts w:eastAsia="Times New Roman" w:cs="Times New Roman"/>
          <w:szCs w:val="20"/>
        </w:rPr>
      </w:pPr>
    </w:p>
    <w:p w14:paraId="06110D1B" w14:textId="77777777" w:rsidR="001C701C" w:rsidRPr="001C701C" w:rsidRDefault="001C701C" w:rsidP="001C701C">
      <w:pPr>
        <w:widowControl w:val="0"/>
        <w:tabs>
          <w:tab w:val="right" w:pos="1008"/>
          <w:tab w:val="left" w:pos="1152"/>
          <w:tab w:val="left" w:pos="1872"/>
          <w:tab w:val="left" w:pos="9187"/>
        </w:tabs>
        <w:ind w:left="2088" w:hanging="2088"/>
        <w:rPr>
          <w:rFonts w:eastAsia="Times New Roman" w:cs="Times New Roman"/>
          <w:szCs w:val="20"/>
        </w:rPr>
      </w:pPr>
    </w:p>
    <w:p w14:paraId="57307FDA" w14:textId="77777777" w:rsidR="001C701C" w:rsidRPr="001C701C" w:rsidRDefault="001C701C"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701C">
        <w:rPr>
          <w:rFonts w:eastAsia="Times New Roman" w:cs="Times New Roman"/>
          <w:b/>
          <w:szCs w:val="20"/>
        </w:rPr>
        <w:t>VERSIONS OF THIS BILL</w:t>
      </w:r>
    </w:p>
    <w:p w14:paraId="7AA5AD20" w14:textId="77777777" w:rsidR="001C701C" w:rsidRPr="001C701C" w:rsidRDefault="001C701C"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0EFAA26" w14:textId="77777777" w:rsidR="001C701C" w:rsidRPr="001C701C" w:rsidRDefault="00BF2BE5" w:rsidP="001C7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1C701C" w:rsidRPr="001C701C">
          <w:rPr>
            <w:rFonts w:eastAsia="Times New Roman" w:cs="Times New Roman"/>
            <w:color w:val="0000FF" w:themeColor="hyperlink"/>
            <w:szCs w:val="20"/>
            <w:u w:val="single"/>
          </w:rPr>
          <w:t>12/9/2020</w:t>
        </w:r>
      </w:hyperlink>
    </w:p>
    <w:p w14:paraId="455F41A8" w14:textId="77777777" w:rsidR="001C701C" w:rsidRPr="001C701C" w:rsidRDefault="00BF2BE5" w:rsidP="001C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C701C" w:rsidRPr="001C701C">
          <w:rPr>
            <w:rFonts w:eastAsia="Times New Roman" w:cs="Times New Roman"/>
            <w:color w:val="0000FF" w:themeColor="hyperlink"/>
            <w:szCs w:val="20"/>
            <w:u w:val="single"/>
          </w:rPr>
          <w:t>12/9/2021</w:t>
        </w:r>
      </w:hyperlink>
    </w:p>
    <w:p w14:paraId="7266994D" w14:textId="77777777" w:rsidR="001C701C" w:rsidRPr="001C701C" w:rsidRDefault="00BF2BE5" w:rsidP="001C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C701C" w:rsidRPr="001C701C">
          <w:rPr>
            <w:rFonts w:eastAsia="Times New Roman" w:cs="Times New Roman"/>
            <w:color w:val="0000FF" w:themeColor="hyperlink"/>
            <w:szCs w:val="20"/>
            <w:u w:val="single"/>
          </w:rPr>
          <w:t>12/9/2021-A</w:t>
        </w:r>
      </w:hyperlink>
    </w:p>
    <w:p w14:paraId="651425EB" w14:textId="77777777" w:rsidR="001C701C" w:rsidRPr="001C701C" w:rsidRDefault="00BF2BE5" w:rsidP="001C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1C701C" w:rsidRPr="001C701C">
          <w:rPr>
            <w:rFonts w:eastAsia="Times New Roman" w:cs="Times New Roman"/>
            <w:color w:val="0000FF" w:themeColor="hyperlink"/>
            <w:szCs w:val="20"/>
            <w:u w:val="single"/>
          </w:rPr>
          <w:t>3/1/2022</w:t>
        </w:r>
      </w:hyperlink>
    </w:p>
    <w:p w14:paraId="50FF8774" w14:textId="77777777" w:rsidR="001C701C" w:rsidRPr="001C701C" w:rsidRDefault="00BF2BE5" w:rsidP="001C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1C701C" w:rsidRPr="001C701C">
          <w:rPr>
            <w:rFonts w:eastAsia="Times New Roman" w:cs="Times New Roman"/>
            <w:color w:val="0000FF" w:themeColor="hyperlink"/>
            <w:szCs w:val="20"/>
            <w:u w:val="single"/>
          </w:rPr>
          <w:t>3/2/2022</w:t>
        </w:r>
      </w:hyperlink>
    </w:p>
    <w:p w14:paraId="75FC5A3C" w14:textId="77777777" w:rsidR="001C701C" w:rsidRPr="001C701C" w:rsidRDefault="00BF2BE5" w:rsidP="001C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1C701C" w:rsidRPr="001C701C">
          <w:rPr>
            <w:rFonts w:eastAsia="Times New Roman" w:cs="Times New Roman"/>
            <w:color w:val="0000FF" w:themeColor="hyperlink"/>
            <w:szCs w:val="20"/>
            <w:u w:val="single"/>
          </w:rPr>
          <w:t>3/17/2022</w:t>
        </w:r>
      </w:hyperlink>
    </w:p>
    <w:p w14:paraId="6D1E9B9E" w14:textId="77777777" w:rsidR="001C701C" w:rsidRPr="001C701C" w:rsidRDefault="00BF2BE5" w:rsidP="001C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1C701C" w:rsidRPr="001C701C">
          <w:rPr>
            <w:rFonts w:eastAsia="Times New Roman" w:cs="Times New Roman"/>
            <w:color w:val="0000FF" w:themeColor="hyperlink"/>
            <w:szCs w:val="20"/>
            <w:u w:val="single"/>
          </w:rPr>
          <w:t>4/5/2022</w:t>
        </w:r>
      </w:hyperlink>
    </w:p>
    <w:p w14:paraId="4A44E4EC" w14:textId="77777777" w:rsidR="001C701C" w:rsidRPr="001C701C" w:rsidRDefault="00BF2BE5" w:rsidP="001C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1C701C" w:rsidRPr="001C701C">
          <w:rPr>
            <w:rFonts w:eastAsia="Times New Roman" w:cs="Times New Roman"/>
            <w:color w:val="0000FF" w:themeColor="hyperlink"/>
            <w:szCs w:val="20"/>
            <w:u w:val="single"/>
          </w:rPr>
          <w:t>4/6/2022</w:t>
        </w:r>
      </w:hyperlink>
    </w:p>
    <w:p w14:paraId="500F1A8F" w14:textId="77777777" w:rsidR="001C701C" w:rsidRPr="001C701C" w:rsidRDefault="00BF2BE5" w:rsidP="001C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1C701C" w:rsidRPr="001C701C">
          <w:rPr>
            <w:rFonts w:eastAsia="Times New Roman" w:cs="Times New Roman"/>
            <w:color w:val="0000FF" w:themeColor="hyperlink"/>
            <w:szCs w:val="20"/>
            <w:u w:val="single"/>
          </w:rPr>
          <w:t>4/6/2022-A</w:t>
        </w:r>
      </w:hyperlink>
    </w:p>
    <w:p w14:paraId="6E7ABE35" w14:textId="77777777" w:rsidR="001C701C" w:rsidRPr="001C701C" w:rsidRDefault="00BF2BE5" w:rsidP="001C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1C701C" w:rsidRPr="001C701C">
          <w:rPr>
            <w:rFonts w:eastAsia="Times New Roman" w:cs="Times New Roman"/>
            <w:color w:val="0000FF" w:themeColor="hyperlink"/>
            <w:szCs w:val="20"/>
            <w:u w:val="single"/>
          </w:rPr>
          <w:t>4/7/2022</w:t>
        </w:r>
      </w:hyperlink>
    </w:p>
    <w:p w14:paraId="75DFE46C" w14:textId="77777777" w:rsidR="001C701C" w:rsidRPr="001C701C" w:rsidRDefault="00BF2BE5" w:rsidP="001C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1C701C" w:rsidRPr="001C701C">
          <w:rPr>
            <w:rFonts w:eastAsia="Times New Roman" w:cs="Times New Roman"/>
            <w:color w:val="0000FF" w:themeColor="hyperlink"/>
            <w:szCs w:val="20"/>
            <w:u w:val="single"/>
          </w:rPr>
          <w:t>4/7/2022-A</w:t>
        </w:r>
      </w:hyperlink>
    </w:p>
    <w:p w14:paraId="294AF61A" w14:textId="77777777" w:rsidR="001C701C" w:rsidRPr="001C701C" w:rsidRDefault="00BF2BE5" w:rsidP="001C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1C701C" w:rsidRPr="001C701C">
          <w:rPr>
            <w:rFonts w:eastAsia="Times New Roman" w:cs="Times New Roman"/>
            <w:color w:val="0000FF" w:themeColor="hyperlink"/>
            <w:szCs w:val="20"/>
            <w:u w:val="single"/>
          </w:rPr>
          <w:t>4/8/2022</w:t>
        </w:r>
      </w:hyperlink>
    </w:p>
    <w:p w14:paraId="3BD00874" w14:textId="77777777" w:rsidR="001C701C" w:rsidRPr="001C701C" w:rsidRDefault="001C701C" w:rsidP="001C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36E12F25" w14:textId="77777777" w:rsidR="001C701C" w:rsidRDefault="001C701C" w:rsidP="001C7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C701C" w:rsidSect="001C701C">
          <w:pgSz w:w="12240" w:h="15840" w:code="1"/>
          <w:pgMar w:top="1080" w:right="1440" w:bottom="1080" w:left="1440" w:header="720" w:footer="720" w:gutter="0"/>
          <w:pgNumType w:start="1"/>
          <w:cols w:space="720"/>
          <w:noEndnote/>
          <w:docGrid w:linePitch="360"/>
        </w:sectPr>
      </w:pPr>
    </w:p>
    <w:p w14:paraId="547CE33E"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(A142, R156, H3126)</w:t>
      </w:r>
    </w:p>
    <w:p w14:paraId="56269DAF" w14:textId="77777777" w:rsidR="00FF15D7" w:rsidRPr="008836A5"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227C2C73" w14:textId="77777777" w:rsidR="00FF15D7" w:rsidRPr="001C701C"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C701C">
        <w:rPr>
          <w:rFonts w:cs="Times New Roman"/>
          <w:b/>
          <w:color w:val="000000" w:themeColor="text1"/>
          <w:szCs w:val="36"/>
        </w:rPr>
        <w:t xml:space="preserve">AN ACT </w:t>
      </w:r>
      <w:bookmarkStart w:id="1" w:name="titleend"/>
      <w:bookmarkEnd w:id="1"/>
      <w:r w:rsidRPr="001C701C">
        <w:rPr>
          <w:rFonts w:cs="Times New Roman"/>
          <w:b/>
          <w:color w:val="000000" w:themeColor="text1"/>
          <w:u w:color="000000" w:themeColor="text1"/>
        </w:rPr>
        <w:t>TO DECLARE THAT THE PRACTICE OF DISCRIMINATION BASED ON VACCINATION STATUS IS IN CONFLICT WITH THE IDEALS OF SOUTH CAROLINA; TO PROVIDE THAT THE GENERAL ASSEMBLY BELIEVES THAT A FEDERAL VACCINE MANDATE IS UNCONSTITUTIONAL; TO PROVIDE THAT THE STATE OR ANY POLITICAL SUBDIVISION MAY NOT ENACT A COVID</w:t>
      </w:r>
      <w:r w:rsidRPr="001C701C">
        <w:rPr>
          <w:rFonts w:cs="Times New Roman"/>
          <w:b/>
          <w:color w:val="000000" w:themeColor="text1"/>
          <w:u w:color="000000" w:themeColor="text1"/>
        </w:rPr>
        <w:noBreakHyphen/>
        <w:t>19 VACCINATION MANDATE; TO AMEND THE CODE OF LAWS OF SOUTH CAROLINA, 1976, BY ADDING SECTION 8</w:t>
      </w:r>
      <w:r w:rsidRPr="001C701C">
        <w:rPr>
          <w:rFonts w:cs="Times New Roman"/>
          <w:b/>
          <w:color w:val="000000" w:themeColor="text1"/>
          <w:u w:color="000000" w:themeColor="text1"/>
        </w:rPr>
        <w:noBreakHyphen/>
        <w:t>15</w:t>
      </w:r>
      <w:r w:rsidRPr="001C701C">
        <w:rPr>
          <w:rFonts w:cs="Times New Roman"/>
          <w:b/>
          <w:color w:val="000000" w:themeColor="text1"/>
          <w:u w:color="000000" w:themeColor="text1"/>
        </w:rPr>
        <w:noBreakHyphen/>
        <w:t>80 SO AS TO PROVIDE THAT NEITHER THE STATE NOR ANY OF ITS POLITICAL SUBDIVISIONS MAY TERMINATE OR SUSPEND A FIRST RESPONDER BASED ON HIS VACCINATION STATUS; TO PROVIDE FOR CERTAIN UNEMPLOYMENT BENEFITS; TO PROVIDE THAT NOTHING IN THIS ACT SHALL PREVENT AN EMPLOYER FROM ENCOURAGING OR ADMINISTERING VACCINES; TO PROVIDE RESTRICTIONS FOR A PRIVATE EMPLOYER’S VACCINE MANDATE; TO PROVIDE THAT CERTAIN VACCINE EXEMPTIONS MUST BE HONORED; TO PROVIDE THAT NO PERSON MAY BE DISCRIMINATED AGAINST BASED ON VACCINATION STATUS; AND TO REENACT ACT 99 OF 2021 RELATING TO SOUTH CAROLINA COVID</w:t>
      </w:r>
      <w:r w:rsidRPr="001C701C">
        <w:rPr>
          <w:rFonts w:cs="Times New Roman"/>
          <w:b/>
          <w:color w:val="000000" w:themeColor="text1"/>
          <w:u w:color="000000" w:themeColor="text1"/>
        </w:rPr>
        <w:noBreakHyphen/>
        <w:t>19 LIABILITY SAFE HARBOR.</w:t>
      </w:r>
    </w:p>
    <w:p w14:paraId="10C20482"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E33A2B3"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2CAF">
        <w:rPr>
          <w:rFonts w:cs="Times New Roman"/>
        </w:rPr>
        <w:t>Be it enacted by the General Assembly of the State of South Carolina:</w:t>
      </w:r>
    </w:p>
    <w:p w14:paraId="1DF5A511"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3CA3059" w14:textId="77777777" w:rsidR="00FF15D7" w:rsidRPr="00BF2C25"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COVID</w:t>
      </w:r>
      <w:r>
        <w:rPr>
          <w:rFonts w:cs="Times New Roman"/>
          <w:b/>
        </w:rPr>
        <w:noBreakHyphen/>
        <w:t>19 vaccination discrimination</w:t>
      </w:r>
    </w:p>
    <w:p w14:paraId="2EADC8DC"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BFF6395"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SECTION</w:t>
      </w:r>
      <w:r w:rsidRPr="00022CAF">
        <w:rPr>
          <w:rFonts w:cs="Times New Roman"/>
          <w:color w:val="000000" w:themeColor="text1"/>
          <w:u w:color="000000" w:themeColor="text1"/>
        </w:rPr>
        <w:tab/>
        <w:t>1.</w:t>
      </w:r>
      <w:r w:rsidRPr="00022CAF">
        <w:rPr>
          <w:rFonts w:cs="Times New Roman"/>
          <w:color w:val="000000" w:themeColor="text1"/>
          <w:u w:color="000000" w:themeColor="text1"/>
        </w:rPr>
        <w:tab/>
        <w:t>The General Assembly declares the practice of discrimination against an individual because the individual has chosen not to receive a COVID</w:t>
      </w:r>
      <w:r>
        <w:rPr>
          <w:rFonts w:cs="Times New Roman"/>
          <w:color w:val="000000" w:themeColor="text1"/>
          <w:u w:color="000000" w:themeColor="text1"/>
        </w:rPr>
        <w:noBreakHyphen/>
      </w:r>
      <w:r w:rsidRPr="00022CAF">
        <w:rPr>
          <w:rFonts w:cs="Times New Roman"/>
          <w:color w:val="000000" w:themeColor="text1"/>
          <w:u w:color="000000" w:themeColor="text1"/>
        </w:rPr>
        <w:t>19 vaccination or booster is a matter of state concern and is in conflict with the ideals of South Carolina and the nation, as this discrimination interferes with opportunities of the individual to receive employment and to develop according to the individual</w:t>
      </w:r>
      <w:r>
        <w:rPr>
          <w:rFonts w:cs="Times New Roman"/>
          <w:color w:val="000000" w:themeColor="text1"/>
          <w:u w:color="000000" w:themeColor="text1"/>
        </w:rPr>
        <w:t>’</w:t>
      </w:r>
      <w:r w:rsidRPr="00022CAF">
        <w:rPr>
          <w:rFonts w:cs="Times New Roman"/>
          <w:color w:val="000000" w:themeColor="text1"/>
          <w:u w:color="000000" w:themeColor="text1"/>
        </w:rPr>
        <w:t>s own ability.</w:t>
      </w:r>
    </w:p>
    <w:p w14:paraId="6F9C25CA"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462AE58" w14:textId="77777777" w:rsidR="00FF15D7" w:rsidRPr="00BF2C25"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Vaccine mandate</w:t>
      </w:r>
    </w:p>
    <w:p w14:paraId="68C73876"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DCE068C"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SECTION</w:t>
      </w:r>
      <w:r w:rsidRPr="00022CAF">
        <w:rPr>
          <w:rFonts w:cs="Times New Roman"/>
          <w:color w:val="000000" w:themeColor="text1"/>
          <w:u w:color="000000" w:themeColor="text1"/>
        </w:rPr>
        <w:tab/>
        <w:t>2.</w:t>
      </w:r>
      <w:r w:rsidRPr="00022CAF">
        <w:rPr>
          <w:rFonts w:cs="Times New Roman"/>
          <w:color w:val="000000" w:themeColor="text1"/>
          <w:u w:color="000000" w:themeColor="text1"/>
        </w:rPr>
        <w:tab/>
        <w:t xml:space="preserve">The General Assembly believes that a federal vaccine mandate is unconstitutional and shall not be enforced by this State </w:t>
      </w:r>
      <w:r w:rsidRPr="00022CAF">
        <w:rPr>
          <w:rFonts w:cs="Times New Roman"/>
          <w:color w:val="000000" w:themeColor="text1"/>
          <w:u w:color="000000" w:themeColor="text1"/>
        </w:rPr>
        <w:lastRenderedPageBreak/>
        <w:t>unless, after legal challenge, courts of this State or of the United States of America hold the federal vaccine mandate to be enforceable.</w:t>
      </w:r>
    </w:p>
    <w:p w14:paraId="23DDF01E"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4517EC6" w14:textId="77777777" w:rsidR="00FF15D7" w:rsidRPr="00BF2C25"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COVID</w:t>
      </w:r>
      <w:r>
        <w:rPr>
          <w:rFonts w:cs="Times New Roman"/>
          <w:b/>
          <w:color w:val="000000" w:themeColor="text1"/>
          <w:u w:color="000000" w:themeColor="text1"/>
        </w:rPr>
        <w:noBreakHyphen/>
        <w:t>19 vaccination mandate restriction</w:t>
      </w:r>
    </w:p>
    <w:p w14:paraId="15793D89"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73A6ECF"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SECTION</w:t>
      </w:r>
      <w:r w:rsidRPr="00022CAF">
        <w:rPr>
          <w:rFonts w:cs="Times New Roman"/>
          <w:color w:val="000000" w:themeColor="text1"/>
          <w:u w:color="000000" w:themeColor="text1"/>
        </w:rPr>
        <w:tab/>
        <w:t>3.</w:t>
      </w:r>
      <w:r w:rsidRPr="00022CAF">
        <w:rPr>
          <w:rFonts w:cs="Times New Roman"/>
          <w:color w:val="000000" w:themeColor="text1"/>
          <w:u w:color="000000" w:themeColor="text1"/>
        </w:rPr>
        <w:tab/>
        <w:t>(A)</w:t>
      </w:r>
      <w:r w:rsidRPr="00022CAF">
        <w:rPr>
          <w:rFonts w:cs="Times New Roman"/>
          <w:color w:val="000000" w:themeColor="text1"/>
          <w:u w:color="000000" w:themeColor="text1"/>
        </w:rPr>
        <w:tab/>
        <w:t>Except as provided in subsection (B), the State or any political subdivision thereof, including a school district, may not enact a COVID</w:t>
      </w:r>
      <w:r>
        <w:rPr>
          <w:rFonts w:cs="Times New Roman"/>
          <w:color w:val="000000" w:themeColor="text1"/>
          <w:u w:color="000000" w:themeColor="text1"/>
        </w:rPr>
        <w:noBreakHyphen/>
      </w:r>
      <w:r w:rsidRPr="00022CAF">
        <w:rPr>
          <w:rFonts w:cs="Times New Roman"/>
          <w:color w:val="000000" w:themeColor="text1"/>
          <w:u w:color="000000" w:themeColor="text1"/>
        </w:rPr>
        <w:t>19 vaccine mandate for any:</w:t>
      </w:r>
    </w:p>
    <w:p w14:paraId="47B9E453"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(1)</w:t>
      </w:r>
      <w:r w:rsidRPr="00022CAF">
        <w:rPr>
          <w:rFonts w:cs="Times New Roman"/>
          <w:color w:val="000000" w:themeColor="text1"/>
          <w:u w:color="000000" w:themeColor="text1"/>
        </w:rPr>
        <w:tab/>
        <w:t xml:space="preserve">employee, independent contractor, or nonemployee vendor as a condition of employment or conducting business with the State or a political subdivision; </w:t>
      </w:r>
    </w:p>
    <w:p w14:paraId="417917EC"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(2)</w:t>
      </w:r>
      <w:r w:rsidRPr="00022CAF">
        <w:rPr>
          <w:rFonts w:cs="Times New Roman"/>
          <w:color w:val="000000" w:themeColor="text1"/>
          <w:u w:color="000000" w:themeColor="text1"/>
        </w:rPr>
        <w:tab/>
        <w:t>student as a condition of attendance; or</w:t>
      </w:r>
    </w:p>
    <w:p w14:paraId="5D97956B"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(3)</w:t>
      </w:r>
      <w:r w:rsidRPr="00022CAF">
        <w:rPr>
          <w:rFonts w:cs="Times New Roman"/>
          <w:color w:val="000000" w:themeColor="text1"/>
          <w:u w:color="000000" w:themeColor="text1"/>
        </w:rPr>
        <w:tab/>
        <w:t>participant, volunteer, or other person associated with an auxiliary event, activity, or program as a condition for participating in, volunteering for, or associating with the auxiliary event, activity, or program.</w:t>
      </w:r>
    </w:p>
    <w:p w14:paraId="1B4C1E2A"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t>(B)</w:t>
      </w:r>
      <w:r w:rsidRPr="00022CAF">
        <w:rPr>
          <w:rFonts w:cs="Times New Roman"/>
          <w:color w:val="000000" w:themeColor="text1"/>
          <w:u w:color="000000" w:themeColor="text1"/>
        </w:rPr>
        <w:tab/>
        <w:t>If the State or any political subdivision thereof, including a school district, is subject to a federal requirement that would lead to the forfeiture of federal funds due to a failure to require employees, independent contractors, or nonemployee vendors to receive a COVID</w:t>
      </w:r>
      <w:r>
        <w:rPr>
          <w:rFonts w:cs="Times New Roman"/>
          <w:color w:val="000000" w:themeColor="text1"/>
          <w:u w:color="000000" w:themeColor="text1"/>
        </w:rPr>
        <w:noBreakHyphen/>
      </w:r>
      <w:r w:rsidRPr="00022CAF">
        <w:rPr>
          <w:rFonts w:cs="Times New Roman"/>
          <w:color w:val="000000" w:themeColor="text1"/>
          <w:u w:color="000000" w:themeColor="text1"/>
        </w:rPr>
        <w:t>19 vaccination:</w:t>
      </w:r>
    </w:p>
    <w:p w14:paraId="522DE123"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(1)</w:t>
      </w:r>
      <w:r w:rsidRPr="00022CAF">
        <w:rPr>
          <w:rFonts w:cs="Times New Roman"/>
          <w:color w:val="000000" w:themeColor="text1"/>
          <w:u w:color="000000" w:themeColor="text1"/>
        </w:rPr>
        <w:tab/>
        <w:t>the employer may require an unvaccinated employee, independent contractor, or nonemployee vendor to undergo weekly COVID</w:t>
      </w:r>
      <w:r>
        <w:rPr>
          <w:rFonts w:cs="Times New Roman"/>
          <w:color w:val="000000" w:themeColor="text1"/>
          <w:u w:color="000000" w:themeColor="text1"/>
        </w:rPr>
        <w:noBreakHyphen/>
      </w:r>
      <w:r w:rsidRPr="00022CAF">
        <w:rPr>
          <w:rFonts w:cs="Times New Roman"/>
          <w:color w:val="000000" w:themeColor="text1"/>
          <w:u w:color="000000" w:themeColor="text1"/>
        </w:rPr>
        <w:t>19 testing if the federal requirement allows for testing as an alternative to vaccination; or</w:t>
      </w:r>
    </w:p>
    <w:p w14:paraId="4522D82D"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(2)</w:t>
      </w:r>
      <w:r w:rsidRPr="00022CAF">
        <w:rPr>
          <w:rFonts w:cs="Times New Roman"/>
          <w:color w:val="000000" w:themeColor="text1"/>
          <w:u w:color="000000" w:themeColor="text1"/>
        </w:rPr>
        <w:tab/>
        <w:t xml:space="preserve">the employee is eligible for unemployment benefits subject to the benefit amounts, duration, and requirements as provided in Article 1, Chapter 35, Title 41 if the federal mandate gives the employer no alternative to terminating the employee without forfeiting federal funds. </w:t>
      </w:r>
    </w:p>
    <w:p w14:paraId="64CC15BB"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t>(C)</w:t>
      </w:r>
      <w:r w:rsidRPr="00022CAF">
        <w:rPr>
          <w:rFonts w:cs="Times New Roman"/>
          <w:color w:val="000000" w:themeColor="text1"/>
          <w:u w:color="000000" w:themeColor="text1"/>
        </w:rPr>
        <w:tab/>
        <w:t>The Department of Health and Environmental Control and the Medical University of South Carolina shall partner with state and local government employers to provide COVID</w:t>
      </w:r>
      <w:r>
        <w:rPr>
          <w:rFonts w:cs="Times New Roman"/>
          <w:color w:val="000000" w:themeColor="text1"/>
          <w:u w:color="000000" w:themeColor="text1"/>
        </w:rPr>
        <w:noBreakHyphen/>
      </w:r>
      <w:r w:rsidRPr="00022CAF">
        <w:rPr>
          <w:rFonts w:cs="Times New Roman"/>
          <w:color w:val="000000" w:themeColor="text1"/>
          <w:u w:color="000000" w:themeColor="text1"/>
        </w:rPr>
        <w:t>19 testing as provided in subsection (B)(1).</w:t>
      </w:r>
    </w:p>
    <w:p w14:paraId="046A898B"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062B4E79" w14:textId="77777777" w:rsidR="00FF15D7" w:rsidRPr="00BF2C25"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COVID</w:t>
      </w:r>
      <w:r>
        <w:rPr>
          <w:rFonts w:cs="Times New Roman"/>
          <w:b/>
          <w:color w:val="000000" w:themeColor="text1"/>
          <w:u w:color="000000" w:themeColor="text1"/>
        </w:rPr>
        <w:noBreakHyphen/>
        <w:t>19 vaccination for first responders</w:t>
      </w:r>
    </w:p>
    <w:p w14:paraId="466E3B8B"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0DEF1732"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SECTION</w:t>
      </w:r>
      <w:r w:rsidRPr="00022CAF">
        <w:rPr>
          <w:rFonts w:cs="Times New Roman"/>
          <w:color w:val="000000" w:themeColor="text1"/>
          <w:u w:color="000000" w:themeColor="text1"/>
        </w:rPr>
        <w:tab/>
        <w:t>4.</w:t>
      </w:r>
      <w:r w:rsidRPr="00022CAF">
        <w:rPr>
          <w:rFonts w:cs="Times New Roman"/>
          <w:color w:val="000000" w:themeColor="text1"/>
          <w:u w:color="000000" w:themeColor="text1"/>
        </w:rPr>
        <w:tab/>
        <w:t>Chapter 15, Title 8 of the 1976 Code is amended by adding:</w:t>
      </w:r>
    </w:p>
    <w:p w14:paraId="28598885"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0DD7285E"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t>“Section</w:t>
      </w:r>
      <w:r w:rsidRPr="00022CAF">
        <w:rPr>
          <w:rFonts w:cs="Times New Roman"/>
          <w:color w:val="000000" w:themeColor="text1"/>
          <w:u w:color="000000" w:themeColor="text1"/>
        </w:rPr>
        <w:tab/>
        <w:t>8</w:t>
      </w:r>
      <w:r>
        <w:rPr>
          <w:rFonts w:cs="Times New Roman"/>
          <w:color w:val="000000" w:themeColor="text1"/>
          <w:u w:color="000000" w:themeColor="text1"/>
        </w:rPr>
        <w:noBreakHyphen/>
      </w:r>
      <w:r w:rsidRPr="00022CAF">
        <w:rPr>
          <w:rFonts w:cs="Times New Roman"/>
          <w:color w:val="000000" w:themeColor="text1"/>
          <w:u w:color="000000" w:themeColor="text1"/>
        </w:rPr>
        <w:t>15</w:t>
      </w:r>
      <w:r>
        <w:rPr>
          <w:rFonts w:cs="Times New Roman"/>
          <w:color w:val="000000" w:themeColor="text1"/>
          <w:u w:color="000000" w:themeColor="text1"/>
        </w:rPr>
        <w:noBreakHyphen/>
      </w:r>
      <w:r w:rsidRPr="00022CAF">
        <w:rPr>
          <w:rFonts w:cs="Times New Roman"/>
          <w:color w:val="000000" w:themeColor="text1"/>
          <w:u w:color="000000" w:themeColor="text1"/>
        </w:rPr>
        <w:t>80.</w:t>
      </w:r>
      <w:r w:rsidRPr="00022CAF">
        <w:rPr>
          <w:rFonts w:cs="Times New Roman"/>
          <w:color w:val="000000" w:themeColor="text1"/>
          <w:u w:color="000000" w:themeColor="text1"/>
        </w:rPr>
        <w:tab/>
        <w:t>(A)</w:t>
      </w:r>
      <w:r w:rsidRPr="00022CAF">
        <w:rPr>
          <w:rFonts w:cs="Times New Roman"/>
          <w:color w:val="000000" w:themeColor="text1"/>
          <w:u w:color="000000" w:themeColor="text1"/>
        </w:rPr>
        <w:tab/>
        <w:t>Neither the State, nor any of its political subdivisions, may terminate, suspend, or otherwise reduce the compensation of a person employed as a first responder if the first responder does not undergo a COVID</w:t>
      </w:r>
      <w:r>
        <w:rPr>
          <w:rFonts w:cs="Times New Roman"/>
          <w:color w:val="000000" w:themeColor="text1"/>
          <w:u w:color="000000" w:themeColor="text1"/>
        </w:rPr>
        <w:noBreakHyphen/>
      </w:r>
      <w:r w:rsidRPr="00022CAF">
        <w:rPr>
          <w:rFonts w:cs="Times New Roman"/>
          <w:color w:val="000000" w:themeColor="text1"/>
          <w:u w:color="000000" w:themeColor="text1"/>
        </w:rPr>
        <w:t xml:space="preserve">19 vaccination. </w:t>
      </w:r>
    </w:p>
    <w:p w14:paraId="12344DA8"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t>(B)</w:t>
      </w:r>
      <w:r w:rsidRPr="00022CAF">
        <w:rPr>
          <w:rFonts w:cs="Times New Roman"/>
          <w:color w:val="000000" w:themeColor="text1"/>
          <w:u w:color="000000" w:themeColor="text1"/>
        </w:rPr>
        <w:tab/>
        <w:t xml:space="preserve">For purposes of this section, </w:t>
      </w:r>
      <w:r>
        <w:rPr>
          <w:rFonts w:cs="Times New Roman"/>
          <w:color w:val="000000" w:themeColor="text1"/>
          <w:u w:color="000000" w:themeColor="text1"/>
        </w:rPr>
        <w:t>‘</w:t>
      </w:r>
      <w:r w:rsidRPr="00022CAF">
        <w:rPr>
          <w:rFonts w:cs="Times New Roman"/>
          <w:color w:val="000000" w:themeColor="text1"/>
          <w:u w:color="000000" w:themeColor="text1"/>
        </w:rPr>
        <w:t>first responder</w:t>
      </w:r>
      <w:r>
        <w:rPr>
          <w:rFonts w:cs="Times New Roman"/>
          <w:color w:val="000000" w:themeColor="text1"/>
          <w:u w:color="000000" w:themeColor="text1"/>
        </w:rPr>
        <w:t>’</w:t>
      </w:r>
      <w:r w:rsidRPr="00022CAF">
        <w:rPr>
          <w:rFonts w:cs="Times New Roman"/>
          <w:color w:val="000000" w:themeColor="text1"/>
          <w:u w:color="000000" w:themeColor="text1"/>
        </w:rPr>
        <w:t xml:space="preserve"> means a law enforcement officer, firefighter, emergency medical technician, or paramedic who is paid from public funds.”</w:t>
      </w:r>
    </w:p>
    <w:p w14:paraId="7B93DFA6"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72F7D74A" w14:textId="77777777" w:rsidR="00FF15D7" w:rsidRPr="00BF2C25"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Unemployment benefits</w:t>
      </w:r>
    </w:p>
    <w:p w14:paraId="290B38FB"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E95BBD8"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SECTION</w:t>
      </w:r>
      <w:r w:rsidRPr="00022CAF">
        <w:rPr>
          <w:rFonts w:cs="Times New Roman"/>
          <w:color w:val="000000" w:themeColor="text1"/>
          <w:u w:color="000000" w:themeColor="text1"/>
        </w:rPr>
        <w:tab/>
        <w:t>5.</w:t>
      </w:r>
      <w:r w:rsidRPr="00022CAF">
        <w:rPr>
          <w:rFonts w:cs="Times New Roman"/>
          <w:color w:val="000000" w:themeColor="text1"/>
          <w:u w:color="000000" w:themeColor="text1"/>
        </w:rPr>
        <w:tab/>
        <w:t>(A)</w:t>
      </w:r>
      <w:r w:rsidRPr="00022CAF">
        <w:rPr>
          <w:rFonts w:cs="Times New Roman"/>
          <w:color w:val="000000" w:themeColor="text1"/>
          <w:u w:color="000000" w:themeColor="text1"/>
        </w:rPr>
        <w:tab/>
        <w:t>If a private employer terminates, suspends, or otherwise reduces the compensation of an employee because the employee does not receive a COVID</w:t>
      </w:r>
      <w:r>
        <w:rPr>
          <w:rFonts w:cs="Times New Roman"/>
          <w:color w:val="000000" w:themeColor="text1"/>
          <w:u w:color="000000" w:themeColor="text1"/>
        </w:rPr>
        <w:noBreakHyphen/>
      </w:r>
      <w:r w:rsidRPr="00022CAF">
        <w:rPr>
          <w:rFonts w:cs="Times New Roman"/>
          <w:color w:val="000000" w:themeColor="text1"/>
          <w:u w:color="000000" w:themeColor="text1"/>
        </w:rPr>
        <w:t>19 vaccination or booster, that employee is eligible for unemployment benefits subject to the benefit amounts, duration, and requirements as provided in Article 1, Chapter 35, Title 41.</w:t>
      </w:r>
    </w:p>
    <w:p w14:paraId="41540BF6"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t>(B)</w:t>
      </w:r>
      <w:r w:rsidRPr="00022CAF">
        <w:rPr>
          <w:rFonts w:cs="Times New Roman"/>
          <w:color w:val="000000" w:themeColor="text1"/>
          <w:u w:color="000000" w:themeColor="text1"/>
        </w:rPr>
        <w:tab/>
        <w:t xml:space="preserve">For purposes of this </w:t>
      </w:r>
      <w:r>
        <w:rPr>
          <w:rFonts w:cs="Times New Roman"/>
          <w:color w:val="000000" w:themeColor="text1"/>
          <w:u w:color="000000" w:themeColor="text1"/>
        </w:rPr>
        <w:t>SECTION</w:t>
      </w:r>
      <w:r w:rsidRPr="00022CAF">
        <w:rPr>
          <w:rFonts w:cs="Times New Roman"/>
          <w:color w:val="000000" w:themeColor="text1"/>
          <w:u w:color="000000" w:themeColor="text1"/>
        </w:rPr>
        <w:t>, “private employer” means all employers other than the State and its political subdivisions, including school districts.</w:t>
      </w:r>
    </w:p>
    <w:p w14:paraId="505BA293"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678C2CF" w14:textId="77777777" w:rsidR="00FF15D7" w:rsidRPr="00BF2C25"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Incentives for vaccination</w:t>
      </w:r>
    </w:p>
    <w:p w14:paraId="41D65E22"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7E61D82"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SECTION</w:t>
      </w:r>
      <w:r w:rsidRPr="00022CAF">
        <w:rPr>
          <w:rFonts w:cs="Times New Roman"/>
          <w:color w:val="000000" w:themeColor="text1"/>
          <w:u w:color="000000" w:themeColor="text1"/>
        </w:rPr>
        <w:tab/>
        <w:t>6.</w:t>
      </w:r>
      <w:r w:rsidRPr="00022CAF">
        <w:rPr>
          <w:rFonts w:cs="Times New Roman"/>
          <w:color w:val="000000" w:themeColor="text1"/>
          <w:u w:color="000000" w:themeColor="text1"/>
        </w:rPr>
        <w:tab/>
        <w:t>Nothing contained in this act shall prevent an employer from encouraging, promoting, or administering vaccinations, and nothing in this act shall prevent an employer from offering incentives to employees who elect to be vaccinated.</w:t>
      </w:r>
    </w:p>
    <w:p w14:paraId="3206F84B"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0701695" w14:textId="77777777" w:rsidR="00FF15D7" w:rsidRPr="00BF2C25"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Private employer’s vaccine mandate</w:t>
      </w:r>
    </w:p>
    <w:p w14:paraId="771F3AF3"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042580E8"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SECTION</w:t>
      </w:r>
      <w:r w:rsidRPr="00022CAF">
        <w:rPr>
          <w:rFonts w:cs="Times New Roman"/>
          <w:color w:val="000000" w:themeColor="text1"/>
          <w:u w:color="000000" w:themeColor="text1"/>
        </w:rPr>
        <w:tab/>
        <w:t>7.</w:t>
      </w:r>
      <w:r w:rsidRPr="00022CAF">
        <w:rPr>
          <w:rFonts w:cs="Times New Roman"/>
          <w:color w:val="000000" w:themeColor="text1"/>
          <w:u w:color="000000" w:themeColor="text1"/>
        </w:rPr>
        <w:tab/>
        <w:t>(A)</w:t>
      </w:r>
      <w:r w:rsidRPr="00022CAF">
        <w:rPr>
          <w:rFonts w:cs="Times New Roman"/>
          <w:color w:val="000000" w:themeColor="text1"/>
          <w:u w:color="000000" w:themeColor="text1"/>
        </w:rPr>
        <w:tab/>
        <w:t>A private employer</w:t>
      </w:r>
      <w:r>
        <w:rPr>
          <w:rFonts w:cs="Times New Roman"/>
          <w:color w:val="000000" w:themeColor="text1"/>
          <w:u w:color="000000" w:themeColor="text1"/>
        </w:rPr>
        <w:t>’</w:t>
      </w:r>
      <w:r w:rsidRPr="00022CAF">
        <w:rPr>
          <w:rFonts w:cs="Times New Roman"/>
          <w:color w:val="000000" w:themeColor="text1"/>
          <w:u w:color="000000" w:themeColor="text1"/>
        </w:rPr>
        <w:t>s vaccine mandate may not:</w:t>
      </w:r>
    </w:p>
    <w:p w14:paraId="2DCEE4E0"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(1)</w:t>
      </w:r>
      <w:r w:rsidRPr="00022CAF">
        <w:rPr>
          <w:rFonts w:cs="Times New Roman"/>
          <w:color w:val="000000" w:themeColor="text1"/>
          <w:u w:color="000000" w:themeColor="text1"/>
        </w:rPr>
        <w:tab/>
        <w:t xml:space="preserve">extend to independent contractors, nonemployee vendors, or other third parties that provide goods or services to the employer; and </w:t>
      </w:r>
    </w:p>
    <w:p w14:paraId="752F3FBC"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(2)</w:t>
      </w:r>
      <w:r w:rsidRPr="00022CAF">
        <w:rPr>
          <w:rFonts w:cs="Times New Roman"/>
          <w:color w:val="000000" w:themeColor="text1"/>
          <w:u w:color="000000" w:themeColor="text1"/>
        </w:rPr>
        <w:tab/>
        <w:t>be used to coerce independent contractors, nonemployee vendors, or other third parties that provide goods or services to the employer into implementing a vaccine mandate to maintain the business relationship.</w:t>
      </w:r>
    </w:p>
    <w:p w14:paraId="30AD11C0"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t>(B)</w:t>
      </w:r>
      <w:r w:rsidRPr="00022CAF">
        <w:rPr>
          <w:rFonts w:cs="Times New Roman"/>
          <w:color w:val="000000" w:themeColor="text1"/>
          <w:u w:color="000000" w:themeColor="text1"/>
        </w:rPr>
        <w:tab/>
        <w:t xml:space="preserve">For purposes of this </w:t>
      </w:r>
      <w:r>
        <w:rPr>
          <w:rFonts w:cs="Times New Roman"/>
          <w:color w:val="000000" w:themeColor="text1"/>
          <w:u w:color="000000" w:themeColor="text1"/>
        </w:rPr>
        <w:t>SECTION</w:t>
      </w:r>
      <w:r w:rsidRPr="00022CAF">
        <w:rPr>
          <w:rFonts w:cs="Times New Roman"/>
          <w:color w:val="000000" w:themeColor="text1"/>
          <w:u w:color="000000" w:themeColor="text1"/>
        </w:rPr>
        <w:t>, “private employer” means all employers other than the State and its political subdivisions, including school districts.</w:t>
      </w:r>
    </w:p>
    <w:p w14:paraId="7A8EAF5D"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t>(C)(1)</w:t>
      </w:r>
      <w:r w:rsidRPr="00022CAF">
        <w:rPr>
          <w:rFonts w:cs="Times New Roman"/>
          <w:color w:val="000000" w:themeColor="text1"/>
          <w:u w:color="000000" w:themeColor="text1"/>
        </w:rPr>
        <w:tab/>
        <w:t>The provisions of this SECTION do not apply to an employer if the employer submits an affidavit with the Department of Employment and Workforce attesting to the fact that the employer has a contract with the federal government, a subcontract with a federal contractor, or is subject to a federal regulation that contains a valid, enforceable provision that is contrary to the requirements of this SECTION.</w:t>
      </w:r>
    </w:p>
    <w:p w14:paraId="4EEA80F7"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(2)</w:t>
      </w:r>
      <w:r w:rsidRPr="00022CAF">
        <w:rPr>
          <w:rFonts w:cs="Times New Roman"/>
          <w:color w:val="000000" w:themeColor="text1"/>
          <w:u w:color="000000" w:themeColor="text1"/>
        </w:rPr>
        <w:tab/>
        <w:t xml:space="preserve">The provisions of this SECTION do not apply to an employer seeking to enter into a federal contract, or a subcontract with a prospective federal contractor, that includes a valid, enforceable provision that is contrary to the requirements of this SECTION if the employer submits an affidavit with the Department of Employment and Workforce attesting to the fact that if the employer is awarded the contract or subcontract, then the employer must enforce a provision that is contrary to the requirements of this SECTION. </w:t>
      </w:r>
    </w:p>
    <w:p w14:paraId="15625914"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(3)</w:t>
      </w:r>
      <w:r w:rsidRPr="00022CAF">
        <w:rPr>
          <w:rFonts w:cs="Times New Roman"/>
          <w:color w:val="000000" w:themeColor="text1"/>
          <w:u w:color="000000" w:themeColor="text1"/>
        </w:rPr>
        <w:tab/>
        <w:t>An affidavit filed with the Department of Employment and Workforce pursuant to this subsection remains in effect until revoked by the employer.</w:t>
      </w:r>
    </w:p>
    <w:p w14:paraId="79000378"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091FD12" w14:textId="77777777" w:rsidR="00FF15D7" w:rsidRPr="00BF2C25"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COVID</w:t>
      </w:r>
      <w:r>
        <w:rPr>
          <w:rFonts w:cs="Times New Roman"/>
          <w:b/>
          <w:color w:val="000000" w:themeColor="text1"/>
          <w:u w:color="000000" w:themeColor="text1"/>
        </w:rPr>
        <w:noBreakHyphen/>
        <w:t>19 vaccination exemptions</w:t>
      </w:r>
    </w:p>
    <w:p w14:paraId="4BA6535C"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46D8D6A0"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SECTION</w:t>
      </w:r>
      <w:r w:rsidRPr="00022CAF">
        <w:rPr>
          <w:rFonts w:cs="Times New Roman"/>
          <w:color w:val="000000" w:themeColor="text1"/>
          <w:u w:color="000000" w:themeColor="text1"/>
        </w:rPr>
        <w:tab/>
        <w:t>8.</w:t>
      </w:r>
      <w:r w:rsidRPr="00022CAF">
        <w:rPr>
          <w:rFonts w:cs="Times New Roman"/>
          <w:color w:val="000000" w:themeColor="text1"/>
          <w:u w:color="000000" w:themeColor="text1"/>
        </w:rPr>
        <w:tab/>
        <w:t>(A)</w:t>
      </w:r>
      <w:r w:rsidRPr="00022CAF">
        <w:rPr>
          <w:rFonts w:cs="Times New Roman"/>
          <w:color w:val="000000" w:themeColor="text1"/>
          <w:u w:color="000000" w:themeColor="text1"/>
        </w:rPr>
        <w:tab/>
        <w:t>Notwithstanding any other provision of law, a religious exemption or medical exemption must be honored regarding any COVID</w:t>
      </w:r>
      <w:r>
        <w:rPr>
          <w:rFonts w:cs="Times New Roman"/>
          <w:color w:val="000000" w:themeColor="text1"/>
          <w:u w:color="000000" w:themeColor="text1"/>
        </w:rPr>
        <w:noBreakHyphen/>
      </w:r>
      <w:r w:rsidRPr="00022CAF">
        <w:rPr>
          <w:rFonts w:cs="Times New Roman"/>
          <w:color w:val="000000" w:themeColor="text1"/>
          <w:u w:color="000000" w:themeColor="text1"/>
        </w:rPr>
        <w:t>19 vaccine or booster requirement. A medical exemption may include the presence of antibodies, a prior positive COVID</w:t>
      </w:r>
      <w:r>
        <w:rPr>
          <w:rFonts w:cs="Times New Roman"/>
          <w:color w:val="000000" w:themeColor="text1"/>
          <w:u w:color="000000" w:themeColor="text1"/>
        </w:rPr>
        <w:noBreakHyphen/>
      </w:r>
      <w:r w:rsidRPr="00022CAF">
        <w:rPr>
          <w:rFonts w:cs="Times New Roman"/>
          <w:color w:val="000000" w:themeColor="text1"/>
          <w:u w:color="000000" w:themeColor="text1"/>
        </w:rPr>
        <w:t>19 test, or pregnancy. To claim a religious exemption, a person must provide his employer with a short, plain statement attesting to the fact that a tenet of his deeply held religious convictions would be violated by receiving the COVID</w:t>
      </w:r>
      <w:r>
        <w:rPr>
          <w:rFonts w:cs="Times New Roman"/>
          <w:color w:val="000000" w:themeColor="text1"/>
          <w:u w:color="000000" w:themeColor="text1"/>
        </w:rPr>
        <w:noBreakHyphen/>
      </w:r>
      <w:r w:rsidRPr="00022CAF">
        <w:rPr>
          <w:rFonts w:cs="Times New Roman"/>
          <w:color w:val="000000" w:themeColor="text1"/>
          <w:u w:color="000000" w:themeColor="text1"/>
        </w:rPr>
        <w:t>19 vaccine and booster.</w:t>
      </w:r>
    </w:p>
    <w:p w14:paraId="07AE88AD"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t>(B)(1)</w:t>
      </w:r>
      <w:r w:rsidRPr="00022CAF">
        <w:rPr>
          <w:rFonts w:cs="Times New Roman"/>
          <w:color w:val="000000" w:themeColor="text1"/>
          <w:u w:color="000000" w:themeColor="text1"/>
        </w:rPr>
        <w:tab/>
        <w:t>The provisions of this SECTION do not apply to an employer if the employer submits an affidavit with the Department of Employment and Workforce attesting to the fact that the employer has a contract with the federal government, a subcontract with a federal contractor, or is subject to a federal regulation that contains a valid, enforceable provision that is contrary to the requirements of this SECTION</w:t>
      </w:r>
      <w:r>
        <w:rPr>
          <w:rFonts w:cs="Times New Roman"/>
          <w:color w:val="000000" w:themeColor="text1"/>
          <w:u w:color="000000" w:themeColor="text1"/>
        </w:rPr>
        <w:t>.</w:t>
      </w:r>
    </w:p>
    <w:p w14:paraId="4DBE1270"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(2)</w:t>
      </w:r>
      <w:r w:rsidRPr="00022CAF">
        <w:rPr>
          <w:rFonts w:cs="Times New Roman"/>
          <w:color w:val="000000" w:themeColor="text1"/>
          <w:u w:color="000000" w:themeColor="text1"/>
        </w:rPr>
        <w:tab/>
        <w:t xml:space="preserve">The provisions of this SECTION do not apply to an employer seeking to enter into a federal contract, or a subcontract with a prospective federal contractor, that includes a valid, enforceable provision or would be subject to a federal regulation that is contrary to the requirements of this SECTION if the employer submits an affidavit with the Department of Employment and Workforce attesting to the fact that if the employer is awarded the contract or subcontract, then the employer must enforce a provision that is contrary to the requirements of this SECTION. </w:t>
      </w:r>
    </w:p>
    <w:p w14:paraId="0FD6385E"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(3)</w:t>
      </w:r>
      <w:r w:rsidRPr="00022CAF">
        <w:rPr>
          <w:rFonts w:cs="Times New Roman"/>
          <w:color w:val="000000" w:themeColor="text1"/>
          <w:u w:color="000000" w:themeColor="text1"/>
        </w:rPr>
        <w:tab/>
        <w:t>An affidavit filed with the Department of Employment and Workforce pursuant to this subsection remains in effect until revoked by the employer.</w:t>
      </w:r>
    </w:p>
    <w:p w14:paraId="283D3448"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4F0B8898" w14:textId="77777777" w:rsidR="00FF15D7" w:rsidRPr="00BF2C25"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Vaccination status</w:t>
      </w:r>
    </w:p>
    <w:p w14:paraId="08841247"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4DBDE637"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SECTION</w:t>
      </w:r>
      <w:r w:rsidRPr="00022CAF">
        <w:rPr>
          <w:rFonts w:cs="Times New Roman"/>
          <w:color w:val="000000" w:themeColor="text1"/>
          <w:u w:color="000000" w:themeColor="text1"/>
        </w:rPr>
        <w:tab/>
        <w:t>9.</w:t>
      </w:r>
      <w:r w:rsidRPr="00022CAF">
        <w:rPr>
          <w:rFonts w:cs="Times New Roman"/>
          <w:color w:val="000000" w:themeColor="text1"/>
          <w:u w:color="000000" w:themeColor="text1"/>
        </w:rPr>
        <w:tab/>
        <w:t>(A)</w:t>
      </w:r>
      <w:r w:rsidRPr="00022CAF">
        <w:rPr>
          <w:rFonts w:cs="Times New Roman"/>
          <w:color w:val="000000" w:themeColor="text1"/>
          <w:u w:color="000000" w:themeColor="text1"/>
        </w:rPr>
        <w:tab/>
        <w:t>All persons shall be entitled to the full and equal enjoyment of the goods, services, facilities, privileges, advantages, and accommodations of any place of public accommodation without discrimination or segregation on the basis of the person</w:t>
      </w:r>
      <w:r>
        <w:rPr>
          <w:rFonts w:cs="Times New Roman"/>
          <w:color w:val="000000" w:themeColor="text1"/>
          <w:u w:color="000000" w:themeColor="text1"/>
        </w:rPr>
        <w:t>’</w:t>
      </w:r>
      <w:r w:rsidRPr="00022CAF">
        <w:rPr>
          <w:rFonts w:cs="Times New Roman"/>
          <w:color w:val="000000" w:themeColor="text1"/>
          <w:u w:color="000000" w:themeColor="text1"/>
        </w:rPr>
        <w:t>s vaccination status.</w:t>
      </w:r>
    </w:p>
    <w:p w14:paraId="09359D35"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t>(B)</w:t>
      </w:r>
      <w:r w:rsidRPr="00022CAF">
        <w:rPr>
          <w:rFonts w:cs="Times New Roman"/>
          <w:color w:val="000000" w:themeColor="text1"/>
          <w:u w:color="000000" w:themeColor="text1"/>
        </w:rPr>
        <w:tab/>
        <w:t>No person shall withhold, deny, or attempt to withhold or deny, or deprive, or attempt to deprive any person of any right or privilege secured by the provisions of subsection (A); or intimidate, threaten, coerce, or attempt to intimidate, threaten, or coerce any person with the purpose of interfering with any right or privilege secured by the provisions of subsection (A); or punish or attempt to punish any person for exercising or attempting to exercise any right or privilege secured by the provisions of subsection (A).</w:t>
      </w:r>
    </w:p>
    <w:p w14:paraId="68DCA9D5"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t>(C)</w:t>
      </w:r>
      <w:r w:rsidRPr="00022CAF">
        <w:rPr>
          <w:rFonts w:cs="Times New Roman"/>
          <w:color w:val="000000" w:themeColor="text1"/>
          <w:u w:color="000000" w:themeColor="text1"/>
        </w:rPr>
        <w:tab/>
        <w:t xml:space="preserve">Each of the following establishments that serves the public is a place of public accommodation within the meaning of this </w:t>
      </w:r>
      <w:r>
        <w:rPr>
          <w:rFonts w:cs="Times New Roman"/>
          <w:color w:val="000000" w:themeColor="text1"/>
          <w:u w:color="000000" w:themeColor="text1"/>
        </w:rPr>
        <w:t>SECTION</w:t>
      </w:r>
      <w:r w:rsidRPr="00022CAF">
        <w:rPr>
          <w:rFonts w:cs="Times New Roman"/>
          <w:color w:val="000000" w:themeColor="text1"/>
          <w:u w:color="000000" w:themeColor="text1"/>
        </w:rPr>
        <w:t xml:space="preserve"> if discrimination or segregation by it is supported by state action:</w:t>
      </w:r>
    </w:p>
    <w:p w14:paraId="746C3754"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(1)</w:t>
      </w:r>
      <w:r w:rsidRPr="00022CAF">
        <w:rPr>
          <w:rFonts w:cs="Times New Roman"/>
          <w:color w:val="000000" w:themeColor="text1"/>
          <w:u w:color="000000" w:themeColor="text1"/>
        </w:rPr>
        <w:tab/>
        <w:t>any inn, hotel, motel, or other establishment that provides lodging to transient guests, other than an establishment located within a building which contains not more than five rooms for rent or hire and which is actually occupied by the proprietor of such establishment as his residence;</w:t>
      </w:r>
    </w:p>
    <w:p w14:paraId="76938161"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(2)</w:t>
      </w:r>
      <w:r w:rsidRPr="00022CAF">
        <w:rPr>
          <w:rFonts w:cs="Times New Roman"/>
          <w:color w:val="000000" w:themeColor="text1"/>
          <w:u w:color="000000" w:themeColor="text1"/>
        </w:rPr>
        <w:tab/>
        <w:t>any restaurant, cafeteria, lunchroom, lunch counter, soda fountain, or other facility principally engaged in selling food for consumption on the premise</w:t>
      </w:r>
      <w:r>
        <w:rPr>
          <w:rFonts w:cs="Times New Roman"/>
          <w:color w:val="000000" w:themeColor="text1"/>
          <w:u w:color="000000" w:themeColor="text1"/>
        </w:rPr>
        <w:t>s</w:t>
      </w:r>
      <w:r w:rsidRPr="00022CAF">
        <w:rPr>
          <w:rFonts w:cs="Times New Roman"/>
          <w:color w:val="000000" w:themeColor="text1"/>
          <w:u w:color="000000" w:themeColor="text1"/>
        </w:rPr>
        <w:t xml:space="preserve"> including, but not limited to, any such facility located on the premises of any retail establishment, or any gasoline station;</w:t>
      </w:r>
    </w:p>
    <w:p w14:paraId="13D76DC9"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(3)</w:t>
      </w:r>
      <w:r w:rsidRPr="00022CAF">
        <w:rPr>
          <w:rFonts w:cs="Times New Roman"/>
          <w:color w:val="000000" w:themeColor="text1"/>
          <w:u w:color="000000" w:themeColor="text1"/>
        </w:rPr>
        <w:tab/>
        <w:t>any hospital, clinic, or other medical facility that provides overnight accommodations;</w:t>
      </w:r>
    </w:p>
    <w:p w14:paraId="4A9B8220"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(4)</w:t>
      </w:r>
      <w:r w:rsidRPr="00022CAF">
        <w:rPr>
          <w:rFonts w:cs="Times New Roman"/>
          <w:color w:val="000000" w:themeColor="text1"/>
          <w:u w:color="000000" w:themeColor="text1"/>
        </w:rPr>
        <w:tab/>
        <w:t>any retail or wholesale establishment;</w:t>
      </w:r>
    </w:p>
    <w:p w14:paraId="4ADBD1C0"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(5)</w:t>
      </w:r>
      <w:r w:rsidRPr="00022CAF">
        <w:rPr>
          <w:rFonts w:cs="Times New Roman"/>
          <w:color w:val="000000" w:themeColor="text1"/>
          <w:u w:color="000000" w:themeColor="text1"/>
        </w:rPr>
        <w:tab/>
        <w:t>any motion picture house, theater, concert hall, billiard parlor, saloon, barroom, golf course, sports arena, stadium, or other place of amusement, exhibition, recreation, or entertainment; and</w:t>
      </w:r>
    </w:p>
    <w:p w14:paraId="6E0AA191"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(6)</w:t>
      </w:r>
      <w:r w:rsidRPr="00022CAF">
        <w:rPr>
          <w:rFonts w:cs="Times New Roman"/>
          <w:color w:val="000000" w:themeColor="text1"/>
          <w:u w:color="000000" w:themeColor="text1"/>
        </w:rPr>
        <w:tab/>
        <w:t>any establishment that is physically located within the premises of any establishment otherwise covered by this subsection, or within the premises of which is physically located any such covered establishment, and which holds itself out as serving patrons of such covered establishment.</w:t>
      </w:r>
    </w:p>
    <w:p w14:paraId="28E52A51"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t>(D)</w:t>
      </w:r>
      <w:r w:rsidRPr="00022CAF">
        <w:rPr>
          <w:rFonts w:cs="Times New Roman"/>
          <w:color w:val="000000" w:themeColor="text1"/>
          <w:u w:color="000000" w:themeColor="text1"/>
        </w:rPr>
        <w:tab/>
        <w:t xml:space="preserve">The provisions of this </w:t>
      </w:r>
      <w:r>
        <w:rPr>
          <w:rFonts w:cs="Times New Roman"/>
          <w:color w:val="000000" w:themeColor="text1"/>
          <w:u w:color="000000" w:themeColor="text1"/>
        </w:rPr>
        <w:t>SECTION</w:t>
      </w:r>
      <w:r w:rsidRPr="00022CAF">
        <w:rPr>
          <w:rFonts w:cs="Times New Roman"/>
          <w:color w:val="000000" w:themeColor="text1"/>
          <w:u w:color="000000" w:themeColor="text1"/>
        </w:rPr>
        <w:t xml:space="preserve"> do not apply to a private club or other establishment not in fact open to the general public. An institution, a club, an organization, or a place of accommodation, as defined in subsection (</w:t>
      </w:r>
      <w:r>
        <w:rPr>
          <w:rFonts w:cs="Times New Roman"/>
          <w:color w:val="000000" w:themeColor="text1"/>
          <w:u w:color="000000" w:themeColor="text1"/>
        </w:rPr>
        <w:t>C</w:t>
      </w:r>
      <w:r w:rsidRPr="00022CAF">
        <w:rPr>
          <w:rFonts w:cs="Times New Roman"/>
          <w:color w:val="000000" w:themeColor="text1"/>
          <w:u w:color="000000" w:themeColor="text1"/>
        </w:rPr>
        <w:t xml:space="preserve">), that offers memberships for less than thirty days is not private within the meaning of this </w:t>
      </w:r>
      <w:r>
        <w:rPr>
          <w:rFonts w:cs="Times New Roman"/>
          <w:color w:val="000000" w:themeColor="text1"/>
          <w:u w:color="000000" w:themeColor="text1"/>
        </w:rPr>
        <w:t>SECTION</w:t>
      </w:r>
      <w:r w:rsidRPr="00022CAF">
        <w:rPr>
          <w:rFonts w:cs="Times New Roman"/>
          <w:color w:val="000000" w:themeColor="text1"/>
          <w:u w:color="000000" w:themeColor="text1"/>
        </w:rPr>
        <w:t>.</w:t>
      </w:r>
    </w:p>
    <w:p w14:paraId="7A953BF7"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t>(E)</w:t>
      </w:r>
      <w:r w:rsidRPr="00022CAF">
        <w:rPr>
          <w:rFonts w:cs="Times New Roman"/>
          <w:color w:val="000000" w:themeColor="text1"/>
          <w:u w:color="000000" w:themeColor="text1"/>
        </w:rPr>
        <w:tab/>
        <w:t xml:space="preserve">Complaints concerning violations of the provisions of this </w:t>
      </w:r>
      <w:r>
        <w:rPr>
          <w:rFonts w:cs="Times New Roman"/>
          <w:color w:val="000000" w:themeColor="text1"/>
          <w:u w:color="000000" w:themeColor="text1"/>
        </w:rPr>
        <w:t>SECTION</w:t>
      </w:r>
      <w:r w:rsidRPr="00022CAF">
        <w:rPr>
          <w:rFonts w:cs="Times New Roman"/>
          <w:color w:val="000000" w:themeColor="text1"/>
          <w:u w:color="000000" w:themeColor="text1"/>
        </w:rPr>
        <w:t xml:space="preserve"> must be processed and heard pursuant to Article 3, Chapter 9, Title 45. Penalties and remedies for violations of this </w:t>
      </w:r>
      <w:r>
        <w:rPr>
          <w:rFonts w:cs="Times New Roman"/>
          <w:color w:val="000000" w:themeColor="text1"/>
          <w:u w:color="000000" w:themeColor="text1"/>
        </w:rPr>
        <w:t>SECTION</w:t>
      </w:r>
      <w:r w:rsidRPr="00022CAF">
        <w:rPr>
          <w:rFonts w:cs="Times New Roman"/>
          <w:color w:val="000000" w:themeColor="text1"/>
          <w:u w:color="000000" w:themeColor="text1"/>
        </w:rPr>
        <w:t xml:space="preserve"> are governed by the provisions contained in Article 5, Chapter 9, Title 45. </w:t>
      </w:r>
    </w:p>
    <w:p w14:paraId="4A2A6B11"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t>(F)</w:t>
      </w:r>
      <w:r w:rsidRPr="00022CAF">
        <w:rPr>
          <w:rFonts w:cs="Times New Roman"/>
          <w:color w:val="000000" w:themeColor="text1"/>
          <w:u w:color="000000" w:themeColor="text1"/>
        </w:rPr>
        <w:tab/>
        <w:t xml:space="preserve">For the purposes of this </w:t>
      </w:r>
      <w:r>
        <w:rPr>
          <w:rFonts w:cs="Times New Roman"/>
          <w:color w:val="000000" w:themeColor="text1"/>
          <w:u w:color="000000" w:themeColor="text1"/>
        </w:rPr>
        <w:t>SECTION</w:t>
      </w:r>
      <w:r w:rsidRPr="00022CAF">
        <w:rPr>
          <w:rFonts w:cs="Times New Roman"/>
          <w:color w:val="000000" w:themeColor="text1"/>
          <w:u w:color="000000" w:themeColor="text1"/>
        </w:rPr>
        <w:t>:</w:t>
      </w:r>
    </w:p>
    <w:p w14:paraId="585A3A39"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(1)</w:t>
      </w:r>
      <w:r w:rsidRPr="00022CAF">
        <w:rPr>
          <w:rFonts w:cs="Times New Roman"/>
          <w:color w:val="000000" w:themeColor="text1"/>
          <w:u w:color="000000" w:themeColor="text1"/>
        </w:rPr>
        <w:tab/>
        <w:t>“Supported by state action” means the licensing or permitting of any establishment or any agent of an establishment listed above, subject to the exclusion provided in Section 45</w:t>
      </w:r>
      <w:r>
        <w:rPr>
          <w:rFonts w:cs="Times New Roman"/>
          <w:color w:val="000000" w:themeColor="text1"/>
          <w:u w:color="000000" w:themeColor="text1"/>
        </w:rPr>
        <w:noBreakHyphen/>
      </w:r>
      <w:r w:rsidRPr="00022CAF">
        <w:rPr>
          <w:rFonts w:cs="Times New Roman"/>
          <w:color w:val="000000" w:themeColor="text1"/>
          <w:u w:color="000000" w:themeColor="text1"/>
        </w:rPr>
        <w:t>9</w:t>
      </w:r>
      <w:r>
        <w:rPr>
          <w:rFonts w:cs="Times New Roman"/>
          <w:color w:val="000000" w:themeColor="text1"/>
          <w:u w:color="000000" w:themeColor="text1"/>
        </w:rPr>
        <w:noBreakHyphen/>
      </w:r>
      <w:r w:rsidRPr="00022CAF">
        <w:rPr>
          <w:rFonts w:cs="Times New Roman"/>
          <w:color w:val="000000" w:themeColor="text1"/>
          <w:u w:color="000000" w:themeColor="text1"/>
        </w:rPr>
        <w:t>20, which has or must have a license or permit from the State, its agencies, or local governmental entities to lawfully operate.</w:t>
      </w:r>
    </w:p>
    <w:p w14:paraId="18788EC0"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ab/>
      </w:r>
      <w:r w:rsidRPr="00022CAF">
        <w:rPr>
          <w:rFonts w:cs="Times New Roman"/>
          <w:color w:val="000000" w:themeColor="text1"/>
          <w:u w:color="000000" w:themeColor="text1"/>
        </w:rPr>
        <w:tab/>
        <w:t>(2)</w:t>
      </w:r>
      <w:r w:rsidRPr="00022CAF">
        <w:rPr>
          <w:rFonts w:cs="Times New Roman"/>
          <w:color w:val="000000" w:themeColor="text1"/>
          <w:u w:color="000000" w:themeColor="text1"/>
        </w:rPr>
        <w:tab/>
        <w:t>“Vaccination status” means whether a person has been vaccinated against COVID</w:t>
      </w:r>
      <w:r>
        <w:rPr>
          <w:rFonts w:cs="Times New Roman"/>
          <w:color w:val="000000" w:themeColor="text1"/>
          <w:u w:color="000000" w:themeColor="text1"/>
        </w:rPr>
        <w:noBreakHyphen/>
      </w:r>
      <w:r w:rsidRPr="00022CAF">
        <w:rPr>
          <w:rFonts w:cs="Times New Roman"/>
          <w:color w:val="000000" w:themeColor="text1"/>
          <w:u w:color="000000" w:themeColor="text1"/>
        </w:rPr>
        <w:t>19 or has received a COVID</w:t>
      </w:r>
      <w:r>
        <w:rPr>
          <w:rFonts w:cs="Times New Roman"/>
          <w:color w:val="000000" w:themeColor="text1"/>
          <w:u w:color="000000" w:themeColor="text1"/>
        </w:rPr>
        <w:noBreakHyphen/>
      </w:r>
      <w:r w:rsidRPr="00022CAF">
        <w:rPr>
          <w:rFonts w:cs="Times New Roman"/>
          <w:color w:val="000000" w:themeColor="text1"/>
          <w:u w:color="000000" w:themeColor="text1"/>
        </w:rPr>
        <w:t>19 vaccination booster.</w:t>
      </w:r>
    </w:p>
    <w:p w14:paraId="640920C2"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4D3A977B" w14:textId="77777777" w:rsidR="00FF15D7" w:rsidRPr="00BF2C25"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Reenactment of Act 99 of 2021</w:t>
      </w:r>
    </w:p>
    <w:p w14:paraId="5BD21DD4"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6CF272F"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SECTION</w:t>
      </w:r>
      <w:r w:rsidRPr="00022CAF">
        <w:rPr>
          <w:rFonts w:cs="Times New Roman"/>
          <w:color w:val="000000" w:themeColor="text1"/>
          <w:u w:color="000000" w:themeColor="text1"/>
        </w:rPr>
        <w:tab/>
        <w:t>10.</w:t>
      </w:r>
      <w:r w:rsidRPr="00022CAF">
        <w:rPr>
          <w:rFonts w:cs="Times New Roman"/>
          <w:color w:val="000000" w:themeColor="text1"/>
          <w:u w:color="000000" w:themeColor="text1"/>
        </w:rPr>
        <w:tab/>
        <w:t>The provisions contained in Act 99 of 2021, the South Carolina COVID</w:t>
      </w:r>
      <w:r>
        <w:rPr>
          <w:rFonts w:cs="Times New Roman"/>
          <w:color w:val="000000" w:themeColor="text1"/>
          <w:u w:color="000000" w:themeColor="text1"/>
        </w:rPr>
        <w:noBreakHyphen/>
      </w:r>
      <w:r w:rsidRPr="00022CAF">
        <w:rPr>
          <w:rFonts w:cs="Times New Roman"/>
          <w:color w:val="000000" w:themeColor="text1"/>
          <w:u w:color="000000" w:themeColor="text1"/>
        </w:rPr>
        <w:t>19 Liability Immunity Act, are hereby reenacted, retroactive to the date that Act 99 of 2021 expired, by this act. Act 99 of 2021</w:t>
      </w:r>
      <w:r>
        <w:rPr>
          <w:rFonts w:cs="Times New Roman"/>
          <w:color w:val="000000" w:themeColor="text1"/>
          <w:u w:color="000000" w:themeColor="text1"/>
        </w:rPr>
        <w:t>’</w:t>
      </w:r>
      <w:r w:rsidRPr="00022CAF">
        <w:rPr>
          <w:rFonts w:cs="Times New Roman"/>
          <w:color w:val="000000" w:themeColor="text1"/>
          <w:u w:color="000000" w:themeColor="text1"/>
        </w:rPr>
        <w:t xml:space="preserve">s provisions apply to all civil and administrative causes of action that arise between March 13, 2020, and December 31, 2023, and are based upon facts that occurred during this time period. </w:t>
      </w:r>
    </w:p>
    <w:p w14:paraId="741EEF64"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1D2CDCE" w14:textId="77777777" w:rsidR="00FF15D7" w:rsidRPr="00BF2C25"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w:t>
      </w:r>
    </w:p>
    <w:p w14:paraId="6F2E490D"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DB5632B"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22CAF">
        <w:rPr>
          <w:rFonts w:cs="Times New Roman"/>
          <w:color w:val="000000" w:themeColor="text1"/>
          <w:u w:color="000000" w:themeColor="text1"/>
        </w:rPr>
        <w:t>SECTION</w:t>
      </w:r>
      <w:r w:rsidRPr="00022CAF">
        <w:rPr>
          <w:rFonts w:cs="Times New Roman"/>
          <w:color w:val="000000" w:themeColor="text1"/>
          <w:u w:color="000000" w:themeColor="text1"/>
        </w:rPr>
        <w:tab/>
        <w:t>11.</w:t>
      </w:r>
      <w:r w:rsidRPr="00022CAF">
        <w:rPr>
          <w:rFonts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2AA54BF"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B81DAFC" w14:textId="77777777" w:rsidR="00FF15D7" w:rsidRPr="00BF2C25"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14:paraId="2FBAC6D8"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B6B2962"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2CAF">
        <w:rPr>
          <w:rFonts w:cs="Times New Roman"/>
          <w:color w:val="000000" w:themeColor="text1"/>
          <w:u w:color="000000" w:themeColor="text1"/>
        </w:rPr>
        <w:t>SECTION</w:t>
      </w:r>
      <w:r w:rsidRPr="00022CAF">
        <w:rPr>
          <w:rFonts w:cs="Times New Roman"/>
          <w:color w:val="000000" w:themeColor="text1"/>
          <w:u w:color="000000" w:themeColor="text1"/>
        </w:rPr>
        <w:tab/>
        <w:t>12.</w:t>
      </w:r>
      <w:r w:rsidRPr="00022CAF">
        <w:rPr>
          <w:rFonts w:cs="Times New Roman"/>
          <w:color w:val="000000" w:themeColor="text1"/>
          <w:u w:color="000000" w:themeColor="text1"/>
        </w:rPr>
        <w:tab/>
        <w:t>This act takes effect upon approval by the Governor. All provisions of this act are repealed on December 31, 2023, unless reauthorized by the General Assembly.</w:t>
      </w:r>
    </w:p>
    <w:p w14:paraId="491F5112" w14:textId="77777777" w:rsidR="00FF15D7" w:rsidRPr="00022CAF"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175E96B" w14:textId="77777777" w:rsidR="00FF15D7" w:rsidRDefault="00FF15D7"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April, 2022.</w:t>
      </w:r>
    </w:p>
    <w:p w14:paraId="33888B75" w14:textId="77777777" w:rsidR="00FF15D7" w:rsidRDefault="00FF15D7" w:rsidP="00FF15D7">
      <w:pPr>
        <w:jc w:val="both"/>
        <w:rPr>
          <w:color w:val="000000" w:themeColor="text1"/>
        </w:rPr>
      </w:pPr>
    </w:p>
    <w:p w14:paraId="185ADC53" w14:textId="77777777" w:rsidR="00FF15D7" w:rsidRDefault="00FF15D7" w:rsidP="00FF15D7">
      <w:pPr>
        <w:jc w:val="both"/>
        <w:rPr>
          <w:color w:val="000000" w:themeColor="text1"/>
        </w:rPr>
      </w:pPr>
      <w:r>
        <w:rPr>
          <w:color w:val="000000" w:themeColor="text1"/>
        </w:rPr>
        <w:t>Approved the 25</w:t>
      </w:r>
      <w:r w:rsidRPr="007B66CC">
        <w:rPr>
          <w:color w:val="000000" w:themeColor="text1"/>
          <w:vertAlign w:val="superscript"/>
        </w:rPr>
        <w:t>th</w:t>
      </w:r>
      <w:r>
        <w:rPr>
          <w:color w:val="000000" w:themeColor="text1"/>
        </w:rPr>
        <w:t xml:space="preserve"> day of April, 2022. </w:t>
      </w:r>
    </w:p>
    <w:p w14:paraId="70C3274E" w14:textId="77777777" w:rsidR="00FF15D7" w:rsidRDefault="00FF15D7" w:rsidP="00FF15D7">
      <w:pPr>
        <w:jc w:val="center"/>
        <w:rPr>
          <w:color w:val="000000" w:themeColor="text1"/>
        </w:rPr>
      </w:pPr>
    </w:p>
    <w:p w14:paraId="09C7BC4C" w14:textId="77777777" w:rsidR="00FF15D7" w:rsidRDefault="00FF15D7" w:rsidP="00FF15D7">
      <w:pPr>
        <w:jc w:val="center"/>
        <w:rPr>
          <w:color w:val="000000" w:themeColor="text1"/>
        </w:rPr>
      </w:pPr>
      <w:r>
        <w:rPr>
          <w:color w:val="000000" w:themeColor="text1"/>
        </w:rPr>
        <w:t>__________</w:t>
      </w:r>
    </w:p>
    <w:p w14:paraId="70383A92" w14:textId="77777777" w:rsidR="001C701C" w:rsidRPr="00944DF9" w:rsidRDefault="001C701C" w:rsidP="00FF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C701C" w:rsidRPr="00944DF9" w:rsidSect="001C701C">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BED1C" w14:textId="77777777" w:rsidR="008934DC" w:rsidRDefault="008934DC" w:rsidP="007D5FAC">
      <w:r>
        <w:separator/>
      </w:r>
    </w:p>
  </w:endnote>
  <w:endnote w:type="continuationSeparator" w:id="0">
    <w:p w14:paraId="65D82F17" w14:textId="77777777" w:rsidR="008934DC" w:rsidRDefault="008934D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E118F" w14:textId="389A2A49" w:rsidR="001C701C" w:rsidRPr="001C701C" w:rsidRDefault="001C701C" w:rsidP="001C701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A306F">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CDFF8" w14:textId="77777777" w:rsidR="001C701C" w:rsidRDefault="001C7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ABCE9" w14:textId="77777777" w:rsidR="008934DC" w:rsidRDefault="008934DC" w:rsidP="007D5FAC">
      <w:r>
        <w:separator/>
      </w:r>
    </w:p>
  </w:footnote>
  <w:footnote w:type="continuationSeparator" w:id="0">
    <w:p w14:paraId="11A8AC0C" w14:textId="77777777" w:rsidR="008934DC" w:rsidRDefault="008934D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126"/>
    <w:docVar w:name="ActSecretary" w:val="Charlton"/>
    <w:docVar w:name="ActSIdno" w:val="(166)  3126SA22"/>
    <w:docVar w:name="clipname" w:val="3126SA22"/>
    <w:docVar w:name="dvBillNumber" w:val="3126"/>
    <w:docVar w:name="dvBillNumberPrefix" w:val="H"/>
    <w:docVar w:name="dvOriginalBody" w:val="House"/>
    <w:docVar w:name="HOUSEACTFULLPATH" w:val="L:\COUNCIL\ACTS\3126SA22.DOCX"/>
    <w:docVar w:name="OrigHOUSEBillNo" w:val="3126"/>
    <w:docVar w:name="WhatActtype" w:val="AN ACT"/>
  </w:docVars>
  <w:rsids>
    <w:rsidRoot w:val="008934DC"/>
    <w:rsid w:val="00002DE0"/>
    <w:rsid w:val="00020349"/>
    <w:rsid w:val="00020977"/>
    <w:rsid w:val="00021B0B"/>
    <w:rsid w:val="00034F94"/>
    <w:rsid w:val="00040C05"/>
    <w:rsid w:val="0004579B"/>
    <w:rsid w:val="00051B4F"/>
    <w:rsid w:val="00060E60"/>
    <w:rsid w:val="000673E4"/>
    <w:rsid w:val="0007088D"/>
    <w:rsid w:val="000731E9"/>
    <w:rsid w:val="00074565"/>
    <w:rsid w:val="00076A1A"/>
    <w:rsid w:val="00077DA3"/>
    <w:rsid w:val="00081300"/>
    <w:rsid w:val="00081A65"/>
    <w:rsid w:val="00085C37"/>
    <w:rsid w:val="00092EE6"/>
    <w:rsid w:val="00096A9B"/>
    <w:rsid w:val="00096BDA"/>
    <w:rsid w:val="000A6151"/>
    <w:rsid w:val="000B316D"/>
    <w:rsid w:val="000B56CB"/>
    <w:rsid w:val="000D6F51"/>
    <w:rsid w:val="000F1224"/>
    <w:rsid w:val="000F1B64"/>
    <w:rsid w:val="00102F96"/>
    <w:rsid w:val="001030FE"/>
    <w:rsid w:val="001031AE"/>
    <w:rsid w:val="00103295"/>
    <w:rsid w:val="00103D2E"/>
    <w:rsid w:val="00104519"/>
    <w:rsid w:val="00106968"/>
    <w:rsid w:val="00114917"/>
    <w:rsid w:val="001237B9"/>
    <w:rsid w:val="00124D78"/>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306F"/>
    <w:rsid w:val="001A646B"/>
    <w:rsid w:val="001A75A0"/>
    <w:rsid w:val="001B201B"/>
    <w:rsid w:val="001B65B6"/>
    <w:rsid w:val="001B78F9"/>
    <w:rsid w:val="001B7FF5"/>
    <w:rsid w:val="001C2DCE"/>
    <w:rsid w:val="001C390F"/>
    <w:rsid w:val="001C603D"/>
    <w:rsid w:val="001C6957"/>
    <w:rsid w:val="001C701C"/>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729F"/>
    <w:rsid w:val="00254411"/>
    <w:rsid w:val="00254FFA"/>
    <w:rsid w:val="00257ACD"/>
    <w:rsid w:val="00263723"/>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E664E"/>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5299D"/>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3C37"/>
    <w:rsid w:val="005062D2"/>
    <w:rsid w:val="005065EC"/>
    <w:rsid w:val="005208D0"/>
    <w:rsid w:val="005253C4"/>
    <w:rsid w:val="00530D7F"/>
    <w:rsid w:val="00531A4F"/>
    <w:rsid w:val="00531C6C"/>
    <w:rsid w:val="005325C5"/>
    <w:rsid w:val="0053326B"/>
    <w:rsid w:val="005352AA"/>
    <w:rsid w:val="0053576C"/>
    <w:rsid w:val="00535F1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97728"/>
    <w:rsid w:val="006A3DFC"/>
    <w:rsid w:val="006A4214"/>
    <w:rsid w:val="006A5B40"/>
    <w:rsid w:val="006A65C8"/>
    <w:rsid w:val="006A6F1D"/>
    <w:rsid w:val="006B151F"/>
    <w:rsid w:val="006B263A"/>
    <w:rsid w:val="006B4FA6"/>
    <w:rsid w:val="006C2574"/>
    <w:rsid w:val="006C3665"/>
    <w:rsid w:val="006C64C5"/>
    <w:rsid w:val="006C7535"/>
    <w:rsid w:val="006C7D00"/>
    <w:rsid w:val="006D1F87"/>
    <w:rsid w:val="006D6B8E"/>
    <w:rsid w:val="006E038F"/>
    <w:rsid w:val="006F22C0"/>
    <w:rsid w:val="006F290C"/>
    <w:rsid w:val="006F68BD"/>
    <w:rsid w:val="007009F2"/>
    <w:rsid w:val="00703D30"/>
    <w:rsid w:val="00704FF9"/>
    <w:rsid w:val="007052EC"/>
    <w:rsid w:val="00706B65"/>
    <w:rsid w:val="007261EE"/>
    <w:rsid w:val="00733A16"/>
    <w:rsid w:val="00733C4C"/>
    <w:rsid w:val="00737039"/>
    <w:rsid w:val="007373C7"/>
    <w:rsid w:val="00740BEB"/>
    <w:rsid w:val="00741D64"/>
    <w:rsid w:val="007469F9"/>
    <w:rsid w:val="0074783A"/>
    <w:rsid w:val="007514EF"/>
    <w:rsid w:val="00765D0A"/>
    <w:rsid w:val="00765EC0"/>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283C"/>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0D5"/>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34DC"/>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000A"/>
    <w:rsid w:val="009254E2"/>
    <w:rsid w:val="00926C29"/>
    <w:rsid w:val="00934A0A"/>
    <w:rsid w:val="00940A90"/>
    <w:rsid w:val="009434B9"/>
    <w:rsid w:val="00944DF9"/>
    <w:rsid w:val="00953BF7"/>
    <w:rsid w:val="0095478A"/>
    <w:rsid w:val="009560AB"/>
    <w:rsid w:val="009623A2"/>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37875"/>
    <w:rsid w:val="00A41123"/>
    <w:rsid w:val="00A42B73"/>
    <w:rsid w:val="00A46627"/>
    <w:rsid w:val="00A475E8"/>
    <w:rsid w:val="00A61397"/>
    <w:rsid w:val="00A62F8F"/>
    <w:rsid w:val="00A64E80"/>
    <w:rsid w:val="00A73974"/>
    <w:rsid w:val="00A74007"/>
    <w:rsid w:val="00A763E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069A"/>
    <w:rsid w:val="00B11270"/>
    <w:rsid w:val="00B13981"/>
    <w:rsid w:val="00B16B97"/>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87477"/>
    <w:rsid w:val="00B92CEA"/>
    <w:rsid w:val="00B93DF8"/>
    <w:rsid w:val="00BB1593"/>
    <w:rsid w:val="00BB43F6"/>
    <w:rsid w:val="00BB5571"/>
    <w:rsid w:val="00BB6EF3"/>
    <w:rsid w:val="00BC21C1"/>
    <w:rsid w:val="00BC5FF9"/>
    <w:rsid w:val="00BC6307"/>
    <w:rsid w:val="00BE36EB"/>
    <w:rsid w:val="00BE41F8"/>
    <w:rsid w:val="00BF1B60"/>
    <w:rsid w:val="00BF2034"/>
    <w:rsid w:val="00BF2C25"/>
    <w:rsid w:val="00BF33CD"/>
    <w:rsid w:val="00BF352D"/>
    <w:rsid w:val="00C0158B"/>
    <w:rsid w:val="00C02F6F"/>
    <w:rsid w:val="00C03629"/>
    <w:rsid w:val="00C06FF3"/>
    <w:rsid w:val="00C1173A"/>
    <w:rsid w:val="00C15148"/>
    <w:rsid w:val="00C20C5E"/>
    <w:rsid w:val="00C216F6"/>
    <w:rsid w:val="00C230AF"/>
    <w:rsid w:val="00C34674"/>
    <w:rsid w:val="00C3483A"/>
    <w:rsid w:val="00C45263"/>
    <w:rsid w:val="00C46AB4"/>
    <w:rsid w:val="00C55195"/>
    <w:rsid w:val="00C7071A"/>
    <w:rsid w:val="00C74090"/>
    <w:rsid w:val="00C748CB"/>
    <w:rsid w:val="00C74E9D"/>
    <w:rsid w:val="00C81812"/>
    <w:rsid w:val="00C837F6"/>
    <w:rsid w:val="00C92B7D"/>
    <w:rsid w:val="00C94E59"/>
    <w:rsid w:val="00C97CB8"/>
    <w:rsid w:val="00CA4CD7"/>
    <w:rsid w:val="00CA5358"/>
    <w:rsid w:val="00CA55E5"/>
    <w:rsid w:val="00CA7497"/>
    <w:rsid w:val="00CB08A1"/>
    <w:rsid w:val="00CB12FE"/>
    <w:rsid w:val="00CC0BBF"/>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22E6"/>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44309"/>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86B45"/>
    <w:rsid w:val="00FA7E14"/>
    <w:rsid w:val="00FB1A6A"/>
    <w:rsid w:val="00FC380D"/>
    <w:rsid w:val="00FD0D70"/>
    <w:rsid w:val="00FD5B10"/>
    <w:rsid w:val="00FD6DC2"/>
    <w:rsid w:val="00FD7AFA"/>
    <w:rsid w:val="00FE15B8"/>
    <w:rsid w:val="00FE1D78"/>
    <w:rsid w:val="00FE6887"/>
    <w:rsid w:val="00FF0473"/>
    <w:rsid w:val="00FF15D7"/>
    <w:rsid w:val="00FF42B3"/>
    <w:rsid w:val="00FF4CAA"/>
    <w:rsid w:val="00FF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71996D"/>
  <w15:docId w15:val="{7C7B335D-9197-4DF6-A189-7549933F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C701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24729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C701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02F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1209.docx" TargetMode="External"/><Relationship Id="rId18" Type="http://schemas.openxmlformats.org/officeDocument/2006/relationships/hyperlink" Target="file:///h:\sj\20220405.docx" TargetMode="External"/><Relationship Id="rId26" Type="http://schemas.openxmlformats.org/officeDocument/2006/relationships/hyperlink" Target="file:///h:\hj\20220420.docx" TargetMode="External"/><Relationship Id="rId39" Type="http://schemas.openxmlformats.org/officeDocument/2006/relationships/hyperlink" Target="file:///p:\pprever\2021-22\3126_20220408.docx" TargetMode="External"/><Relationship Id="rId3" Type="http://schemas.openxmlformats.org/officeDocument/2006/relationships/settings" Target="settings.xml"/><Relationship Id="rId21" Type="http://schemas.openxmlformats.org/officeDocument/2006/relationships/hyperlink" Target="file:///h:\sj\20220406.docx" TargetMode="External"/><Relationship Id="rId34" Type="http://schemas.openxmlformats.org/officeDocument/2006/relationships/hyperlink" Target="file:///p:\pprever\2021-22\3126_20220405.docx" TargetMode="External"/><Relationship Id="rId42" Type="http://schemas.openxmlformats.org/officeDocument/2006/relationships/fontTable" Target="fontTable.xml"/><Relationship Id="rId7" Type="http://schemas.openxmlformats.org/officeDocument/2006/relationships/hyperlink" Target="file:///h:\hj\20210112.docx" TargetMode="External"/><Relationship Id="rId12" Type="http://schemas.openxmlformats.org/officeDocument/2006/relationships/hyperlink" Target="file:///h:\hj\20211209.docx" TargetMode="External"/><Relationship Id="rId17" Type="http://schemas.openxmlformats.org/officeDocument/2006/relationships/hyperlink" Target="file:///h:\sj\20220111.docx" TargetMode="External"/><Relationship Id="rId25" Type="http://schemas.openxmlformats.org/officeDocument/2006/relationships/hyperlink" Target="file:///h:\hj\20220420.docx" TargetMode="External"/><Relationship Id="rId33" Type="http://schemas.openxmlformats.org/officeDocument/2006/relationships/hyperlink" Target="file:///p:\pprever\2021-22\3126_20220317.docx" TargetMode="External"/><Relationship Id="rId38" Type="http://schemas.openxmlformats.org/officeDocument/2006/relationships/hyperlink" Target="file:///p:\pprever\2021-22\3126_20220407A.docx" TargetMode="External"/><Relationship Id="rId2" Type="http://schemas.openxmlformats.org/officeDocument/2006/relationships/styles" Target="styles.xml"/><Relationship Id="rId16" Type="http://schemas.openxmlformats.org/officeDocument/2006/relationships/hyperlink" Target="file:///h:\sj\20220111.docx" TargetMode="External"/><Relationship Id="rId20" Type="http://schemas.openxmlformats.org/officeDocument/2006/relationships/hyperlink" Target="file:///h:\sj\20220405.docx" TargetMode="External"/><Relationship Id="rId29" Type="http://schemas.openxmlformats.org/officeDocument/2006/relationships/hyperlink" Target="file:///p:\pprever\2021-22\3126_20211209.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1209.docx" TargetMode="External"/><Relationship Id="rId24" Type="http://schemas.openxmlformats.org/officeDocument/2006/relationships/hyperlink" Target="file:///h:\sj\20220406.docx" TargetMode="External"/><Relationship Id="rId32" Type="http://schemas.openxmlformats.org/officeDocument/2006/relationships/hyperlink" Target="file:///p:\pprever\2021-22\3126_20220302.docx" TargetMode="External"/><Relationship Id="rId37" Type="http://schemas.openxmlformats.org/officeDocument/2006/relationships/hyperlink" Target="file:///p:\pprever\2021-22\3126_20220407.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211210.docx" TargetMode="External"/><Relationship Id="rId23" Type="http://schemas.openxmlformats.org/officeDocument/2006/relationships/hyperlink" Target="file:///h:\sj\20220406.docx" TargetMode="External"/><Relationship Id="rId28" Type="http://schemas.openxmlformats.org/officeDocument/2006/relationships/hyperlink" Target="file:///p:\pprever\2021-22\3126_20201209.docx" TargetMode="External"/><Relationship Id="rId36" Type="http://schemas.openxmlformats.org/officeDocument/2006/relationships/hyperlink" Target="file:///p:\pprever\2021-22\3126_20220406A.docx" TargetMode="External"/><Relationship Id="rId10" Type="http://schemas.openxmlformats.org/officeDocument/2006/relationships/hyperlink" Target="file:///h:\hj\20211209.docx" TargetMode="External"/><Relationship Id="rId19" Type="http://schemas.openxmlformats.org/officeDocument/2006/relationships/hyperlink" Target="file:///h:\sj\20220405.docx" TargetMode="External"/><Relationship Id="rId31" Type="http://schemas.openxmlformats.org/officeDocument/2006/relationships/hyperlink" Target="file:///p:\pprever\2021-22\3126_20220301.docx" TargetMode="External"/><Relationship Id="rId4" Type="http://schemas.openxmlformats.org/officeDocument/2006/relationships/webSettings" Target="webSettings.xml"/><Relationship Id="rId9" Type="http://schemas.openxmlformats.org/officeDocument/2006/relationships/hyperlink" Target="file:///h:\hj\20211209.docx" TargetMode="External"/><Relationship Id="rId14" Type="http://schemas.openxmlformats.org/officeDocument/2006/relationships/hyperlink" Target="file:///h:\hj\20211210.docx" TargetMode="External"/><Relationship Id="rId22" Type="http://schemas.openxmlformats.org/officeDocument/2006/relationships/hyperlink" Target="file:///h:\sj\20220406.docx" TargetMode="External"/><Relationship Id="rId27" Type="http://schemas.openxmlformats.org/officeDocument/2006/relationships/hyperlink" Target="http://www.scstatehouse.gov/billsearch.php?billnumbers=3126&amp;session=124&amp;summary=B" TargetMode="External"/><Relationship Id="rId30" Type="http://schemas.openxmlformats.org/officeDocument/2006/relationships/hyperlink" Target="file:///p:\pprever\2021-22\3126_20211209A.docx" TargetMode="External"/><Relationship Id="rId35" Type="http://schemas.openxmlformats.org/officeDocument/2006/relationships/hyperlink" Target="file:///p:\pprever\2021-22\3126_20220406.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5F363-9348-49E6-878A-20F433BCF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2718</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3126: Vaccine mandates - South Carolina Legislature Online</dc:title>
  <dc:subject/>
  <dc:creator>Chris Charlton</dc:creator>
  <cp:keywords/>
  <dc:description/>
  <cp:lastModifiedBy>S Wilson</cp:lastModifiedBy>
  <cp:revision>2</cp:revision>
  <dcterms:created xsi:type="dcterms:W3CDTF">2022-08-15T20:05:00Z</dcterms:created>
  <dcterms:modified xsi:type="dcterms:W3CDTF">2022-08-15T20:05:00Z</dcterms:modified>
</cp:coreProperties>
</file>