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42ED" w:rsidRDefault="00F742ED" w:rsidP="00F742ED">
      <w:pPr>
        <w:widowControl w:val="0"/>
        <w:jc w:val="center"/>
      </w:pPr>
      <w:r w:rsidRPr="00F742ED">
        <w:rPr>
          <w:b/>
        </w:rPr>
        <w:t>South Carolina General Assembly</w:t>
      </w:r>
    </w:p>
    <w:p w:rsidR="00F742ED" w:rsidRDefault="00F742ED" w:rsidP="00F742ED">
      <w:pPr>
        <w:widowControl w:val="0"/>
        <w:jc w:val="center"/>
      </w:pPr>
      <w:r>
        <w:t>124th Session, 2021-2022</w:t>
      </w:r>
    </w:p>
    <w:p w:rsidR="00F742ED" w:rsidRDefault="00F742ED" w:rsidP="00F742ED">
      <w:pPr>
        <w:widowControl w:val="0"/>
        <w:jc w:val="left"/>
      </w:pPr>
    </w:p>
    <w:p w:rsidR="00F742ED" w:rsidRDefault="00F742ED" w:rsidP="00F742ED">
      <w:pPr>
        <w:widowControl w:val="0"/>
        <w:jc w:val="left"/>
        <w:rPr>
          <w:b/>
        </w:rPr>
      </w:pPr>
      <w:r w:rsidRPr="00F742ED">
        <w:rPr>
          <w:b/>
        </w:rPr>
        <w:t>H. 3186</w:t>
      </w:r>
    </w:p>
    <w:p w:rsidR="00F742ED" w:rsidRDefault="00F742ED" w:rsidP="00F742ED">
      <w:pPr>
        <w:widowControl w:val="0"/>
        <w:jc w:val="left"/>
        <w:rPr>
          <w:b/>
        </w:rPr>
      </w:pPr>
    </w:p>
    <w:p w:rsidR="00F742ED" w:rsidRDefault="00F742ED" w:rsidP="00F742ED">
      <w:pPr>
        <w:widowControl w:val="0"/>
        <w:jc w:val="left"/>
      </w:pPr>
      <w:r w:rsidRPr="00F742ED">
        <w:rPr>
          <w:b/>
        </w:rPr>
        <w:t>STATUS INFORMATION</w:t>
      </w:r>
    </w:p>
    <w:p w:rsidR="00F742ED" w:rsidRDefault="00F742ED" w:rsidP="00F742ED">
      <w:pPr>
        <w:widowControl w:val="0"/>
        <w:jc w:val="left"/>
      </w:pPr>
    </w:p>
    <w:p w:rsidR="00F742ED" w:rsidRDefault="00F742ED" w:rsidP="00F742ED">
      <w:pPr>
        <w:widowControl w:val="0"/>
        <w:jc w:val="left"/>
      </w:pPr>
      <w:r>
        <w:t>General Bill</w:t>
      </w:r>
    </w:p>
    <w:p w:rsidR="00F742ED" w:rsidRDefault="003519D5" w:rsidP="00F742ED">
      <w:pPr>
        <w:widowControl w:val="0"/>
        <w:jc w:val="left"/>
      </w:pPr>
      <w:r>
        <w:t>Sponsors: Reps. Cobb</w:t>
      </w:r>
      <w:r>
        <w:noBreakHyphen/>
        <w:t>Hunter, McDaniel and Robinson</w:t>
      </w:r>
    </w:p>
    <w:p w:rsidR="00F742ED" w:rsidRDefault="00F742ED" w:rsidP="00F742ED">
      <w:pPr>
        <w:widowControl w:val="0"/>
        <w:jc w:val="left"/>
      </w:pPr>
      <w:r>
        <w:t>Document Path: l:\council\bills\jn\3315ph21.docx</w:t>
      </w:r>
    </w:p>
    <w:p w:rsidR="00F742ED" w:rsidRDefault="00F742ED" w:rsidP="00F742ED">
      <w:pPr>
        <w:widowControl w:val="0"/>
        <w:jc w:val="left"/>
      </w:pPr>
    </w:p>
    <w:p w:rsidR="00C678E8" w:rsidRDefault="00C678E8" w:rsidP="00F742ED">
      <w:pPr>
        <w:widowControl w:val="0"/>
        <w:jc w:val="left"/>
      </w:pPr>
      <w:r>
        <w:t>Introduced in the House on January 12, 2021</w:t>
      </w:r>
    </w:p>
    <w:p w:rsidR="00C678E8" w:rsidRPr="00C678E8" w:rsidRDefault="00C678E8" w:rsidP="00F742ED">
      <w:pPr>
        <w:widowControl w:val="0"/>
        <w:jc w:val="left"/>
      </w:pPr>
      <w:r>
        <w:t xml:space="preserve">Currently residing in the House Committee on </w:t>
      </w:r>
      <w:r w:rsidRPr="00C678E8">
        <w:rPr>
          <w:b/>
        </w:rPr>
        <w:t>Labor, Commerce and Industry</w:t>
      </w:r>
    </w:p>
    <w:p w:rsidR="00C678E8" w:rsidRDefault="00C678E8" w:rsidP="00F742ED">
      <w:pPr>
        <w:widowControl w:val="0"/>
        <w:jc w:val="left"/>
      </w:pPr>
    </w:p>
    <w:p w:rsidR="00F742ED" w:rsidRDefault="00EF241B" w:rsidP="00F742ED">
      <w:pPr>
        <w:widowControl w:val="0"/>
        <w:jc w:val="left"/>
      </w:pPr>
      <w:r>
        <w:t>Summary: SC Call Center Jobs Act</w:t>
      </w:r>
    </w:p>
    <w:p w:rsidR="00F742ED" w:rsidRDefault="00F742ED" w:rsidP="00F742ED">
      <w:pPr>
        <w:widowControl w:val="0"/>
        <w:jc w:val="left"/>
      </w:pPr>
    </w:p>
    <w:p w:rsidR="00F742ED" w:rsidRDefault="00F742ED" w:rsidP="00F742ED">
      <w:pPr>
        <w:widowControl w:val="0"/>
        <w:jc w:val="left"/>
      </w:pPr>
    </w:p>
    <w:p w:rsidR="00F742ED" w:rsidRDefault="00F742ED" w:rsidP="00F742ED">
      <w:pPr>
        <w:widowControl w:val="0"/>
        <w:tabs>
          <w:tab w:val="center" w:pos="590"/>
          <w:tab w:val="center" w:pos="1440"/>
          <w:tab w:val="left" w:pos="1872"/>
          <w:tab w:val="left" w:pos="9187"/>
        </w:tabs>
        <w:jc w:val="left"/>
      </w:pPr>
      <w:r w:rsidRPr="00F742ED">
        <w:rPr>
          <w:b/>
        </w:rPr>
        <w:t>HISTORY OF LEGISLATIVE ACTIONS</w:t>
      </w:r>
    </w:p>
    <w:p w:rsidR="00F742ED" w:rsidRDefault="00F742ED" w:rsidP="00F742ED">
      <w:pPr>
        <w:widowControl w:val="0"/>
        <w:tabs>
          <w:tab w:val="center" w:pos="590"/>
          <w:tab w:val="center" w:pos="1440"/>
          <w:tab w:val="left" w:pos="1872"/>
          <w:tab w:val="left" w:pos="9187"/>
        </w:tabs>
        <w:jc w:val="left"/>
      </w:pPr>
    </w:p>
    <w:p w:rsidR="00F742ED" w:rsidRPr="00F742ED" w:rsidRDefault="00F742ED" w:rsidP="00F742ED">
      <w:pPr>
        <w:widowControl w:val="0"/>
        <w:tabs>
          <w:tab w:val="center" w:pos="590"/>
          <w:tab w:val="center" w:pos="1440"/>
          <w:tab w:val="left" w:pos="1872"/>
          <w:tab w:val="left" w:pos="9187"/>
        </w:tabs>
        <w:jc w:val="left"/>
      </w:pPr>
      <w:r w:rsidRPr="00F742ED">
        <w:rPr>
          <w:u w:val="single"/>
        </w:rPr>
        <w:tab/>
        <w:t>Date</w:t>
      </w:r>
      <w:r w:rsidRPr="00F742ED">
        <w:rPr>
          <w:u w:val="single"/>
        </w:rPr>
        <w:tab/>
        <w:t>Body</w:t>
      </w:r>
      <w:r w:rsidRPr="00F742ED">
        <w:rPr>
          <w:u w:val="single"/>
        </w:rPr>
        <w:tab/>
        <w:t>Action Description with journal page number</w:t>
      </w:r>
      <w:r w:rsidRPr="00F742ED">
        <w:rPr>
          <w:u w:val="single"/>
        </w:rPr>
        <w:tab/>
      </w:r>
    </w:p>
    <w:p w:rsidR="00AE69EB" w:rsidRDefault="00AE69EB" w:rsidP="00AE69EB">
      <w:pPr>
        <w:widowControl w:val="0"/>
        <w:tabs>
          <w:tab w:val="right" w:pos="1008"/>
          <w:tab w:val="left" w:pos="1152"/>
          <w:tab w:val="left" w:pos="1872"/>
          <w:tab w:val="left" w:pos="9187"/>
        </w:tabs>
        <w:ind w:left="2088" w:hanging="2088"/>
      </w:pPr>
      <w:r>
        <w:tab/>
        <w:t>12/9/2020</w:t>
      </w:r>
      <w:r>
        <w:tab/>
        <w:t>House</w:t>
      </w:r>
      <w:r>
        <w:tab/>
        <w:t>Prefiled</w:t>
      </w:r>
    </w:p>
    <w:p w:rsidR="00AE69EB" w:rsidRDefault="00AE69EB" w:rsidP="00AE69EB">
      <w:pPr>
        <w:widowControl w:val="0"/>
        <w:tabs>
          <w:tab w:val="right" w:pos="1008"/>
          <w:tab w:val="left" w:pos="1152"/>
          <w:tab w:val="left" w:pos="1872"/>
          <w:tab w:val="left" w:pos="9187"/>
        </w:tabs>
        <w:ind w:left="2088" w:hanging="2088"/>
      </w:pPr>
      <w:r>
        <w:tab/>
        <w:t>12/9/2020</w:t>
      </w:r>
      <w:r>
        <w:tab/>
        <w:t>House</w:t>
      </w:r>
      <w:r>
        <w:tab/>
        <w:t xml:space="preserve">Referred to Committee on </w:t>
      </w:r>
      <w:r w:rsidRPr="00752BF5">
        <w:rPr>
          <w:b/>
        </w:rPr>
        <w:t>Labor, Commerce and Industry</w:t>
      </w:r>
    </w:p>
    <w:p w:rsidR="00AE69EB" w:rsidRDefault="00AE69EB" w:rsidP="00AE69EB">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752BF5">
          <w:rPr>
            <w:rStyle w:val="Hyperlink"/>
          </w:rPr>
          <w:t>House Journal</w:t>
        </w:r>
        <w:r w:rsidRPr="00752BF5">
          <w:rPr>
            <w:rStyle w:val="Hyperlink"/>
          </w:rPr>
          <w:noBreakHyphen/>
          <w:t>page 105</w:t>
        </w:r>
      </w:hyperlink>
      <w:r>
        <w:t>)</w:t>
      </w:r>
    </w:p>
    <w:p w:rsidR="00AE69EB" w:rsidRDefault="00AE69EB" w:rsidP="00AE69EB">
      <w:pPr>
        <w:widowControl w:val="0"/>
        <w:tabs>
          <w:tab w:val="right" w:pos="1008"/>
          <w:tab w:val="left" w:pos="1152"/>
          <w:tab w:val="left" w:pos="1872"/>
          <w:tab w:val="left" w:pos="9187"/>
        </w:tabs>
        <w:ind w:left="2088" w:hanging="2088"/>
      </w:pPr>
      <w:r>
        <w:tab/>
        <w:t>1/12/2021</w:t>
      </w:r>
      <w:r>
        <w:tab/>
        <w:t>House</w:t>
      </w:r>
      <w:r>
        <w:tab/>
        <w:t xml:space="preserve">Referred to Committee on </w:t>
      </w:r>
      <w:r w:rsidRPr="00752BF5">
        <w:rPr>
          <w:b/>
        </w:rPr>
        <w:t>Labor, Commerce and Industry</w:t>
      </w:r>
      <w:r>
        <w:t xml:space="preserve"> (</w:t>
      </w:r>
      <w:hyperlink r:id="rId8" w:history="1">
        <w:r w:rsidRPr="00752BF5">
          <w:rPr>
            <w:rStyle w:val="Hyperlink"/>
          </w:rPr>
          <w:t>House Journal</w:t>
        </w:r>
        <w:r w:rsidRPr="00752BF5">
          <w:rPr>
            <w:rStyle w:val="Hyperlink"/>
          </w:rPr>
          <w:noBreakHyphen/>
          <w:t>page 105</w:t>
        </w:r>
      </w:hyperlink>
      <w:r>
        <w:t>)</w:t>
      </w:r>
    </w:p>
    <w:p w:rsidR="00AE69EB" w:rsidRDefault="00AE69EB" w:rsidP="00AE69EB">
      <w:pPr>
        <w:widowControl w:val="0"/>
        <w:tabs>
          <w:tab w:val="right" w:pos="1008"/>
          <w:tab w:val="left" w:pos="1152"/>
          <w:tab w:val="left" w:pos="1872"/>
          <w:tab w:val="left" w:pos="9187"/>
        </w:tabs>
        <w:ind w:left="2088" w:hanging="2088"/>
      </w:pPr>
    </w:p>
    <w:p w:rsidR="00F742ED" w:rsidRDefault="00F742ED" w:rsidP="00F742E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742ED">
          <w:rPr>
            <w:rStyle w:val="Hyperlink"/>
          </w:rPr>
          <w:t>legislative information</w:t>
        </w:r>
      </w:hyperlink>
      <w:r>
        <w:t xml:space="preserve"> at the website</w:t>
      </w:r>
    </w:p>
    <w:p w:rsidR="00F742ED" w:rsidRDefault="00F742ED" w:rsidP="00F742ED">
      <w:pPr>
        <w:widowControl w:val="0"/>
        <w:tabs>
          <w:tab w:val="right" w:pos="1008"/>
          <w:tab w:val="left" w:pos="1152"/>
          <w:tab w:val="left" w:pos="1872"/>
          <w:tab w:val="left" w:pos="9187"/>
        </w:tabs>
        <w:ind w:left="2088" w:hanging="2088"/>
        <w:jc w:val="left"/>
      </w:pPr>
    </w:p>
    <w:p w:rsidR="00F742ED" w:rsidRPr="00F742ED" w:rsidRDefault="00F742ED" w:rsidP="00F742ED">
      <w:pPr>
        <w:widowControl w:val="0"/>
        <w:tabs>
          <w:tab w:val="right" w:pos="1008"/>
          <w:tab w:val="left" w:pos="1152"/>
          <w:tab w:val="left" w:pos="1872"/>
          <w:tab w:val="left" w:pos="9187"/>
        </w:tabs>
        <w:ind w:left="2088" w:hanging="2088"/>
        <w:jc w:val="left"/>
      </w:pPr>
    </w:p>
    <w:p w:rsidR="00F742ED" w:rsidRDefault="00F742ED" w:rsidP="00F742ED">
      <w:pPr>
        <w:widowControl w:val="0"/>
        <w:jc w:val="left"/>
      </w:pPr>
      <w:r w:rsidRPr="00F742ED">
        <w:rPr>
          <w:b/>
        </w:rPr>
        <w:t>VERSIONS OF THIS BILL</w:t>
      </w:r>
    </w:p>
    <w:p w:rsidR="00F742ED" w:rsidRDefault="00F742ED" w:rsidP="00F742ED">
      <w:pPr>
        <w:widowControl w:val="0"/>
        <w:jc w:val="left"/>
      </w:pPr>
    </w:p>
    <w:p w:rsidR="00F742ED" w:rsidRDefault="00DC68D0" w:rsidP="00F742ED">
      <w:pPr>
        <w:widowControl w:val="0"/>
        <w:jc w:val="left"/>
      </w:pPr>
      <w:hyperlink r:id="rId10" w:history="1">
        <w:r w:rsidR="00F742ED">
          <w:rPr>
            <w:rStyle w:val="Hyperlink"/>
          </w:rPr>
          <w:t>12/9/2020</w:t>
        </w:r>
      </w:hyperlink>
    </w:p>
    <w:p w:rsidR="00F742ED" w:rsidRDefault="00F742ED" w:rsidP="00F742ED"/>
    <w:p w:rsidR="00F742ED" w:rsidRDefault="00F742ED" w:rsidP="00F742ED">
      <w:pPr>
        <w:sectPr w:rsidR="00F742ED" w:rsidSect="00F742ED">
          <w:pgSz w:w="12240" w:h="15840" w:code="1"/>
          <w:pgMar w:top="1080" w:right="1440" w:bottom="1080" w:left="1440" w:header="720" w:footer="720" w:gutter="0"/>
          <w:cols w:space="720"/>
          <w:noEndnote/>
          <w:docGrid w:linePitch="360"/>
        </w:sectPr>
      </w:pPr>
    </w:p>
    <w:p w:rsidR="008C44A3" w:rsidRDefault="008C44A3" w:rsidP="00762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B24" w:rsidRDefault="00762B24" w:rsidP="00762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B24" w:rsidRDefault="00762B24" w:rsidP="00762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B24" w:rsidRDefault="00762B24" w:rsidP="00762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B24" w:rsidRDefault="00762B24" w:rsidP="00762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B24" w:rsidRDefault="00762B24" w:rsidP="00762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B24" w:rsidRDefault="00762B24" w:rsidP="00762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B24" w:rsidRDefault="00762B24" w:rsidP="00762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83FB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E74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CHAPTER 26 TO TITLE 41 SO AS TO ENACT THE “SOUTH CAROLINA CALL CENTER JOBS ACT” TO PROVIDE PROTECTIONS FOR EMPLOYEES OF CALL CENTERS WHOSE EMPLOYER RELOCATES OR INTENDS TO RELOCATE TO A FOREIGN COUNTRY AND TO PROVIDE NOTICE AND OTHER REQUIREMENTS IN REGARD TO THESE EMPLOYERS, AS WELL AS CERTAIN CIVIL PENALTIES AND OTHER SANCTIONS AGAINST THEM FOR SPECIFIC VIOLATIONS.</w:t>
      </w:r>
      <w:bookmarkStart w:id="4" w:name="titleend"/>
      <w:bookmarkEnd w:id="4"/>
    </w:p>
    <w:p w:rsidR="00EE7410" w:rsidRDefault="00EE74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FB1" w:rsidRDefault="00E83F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3FB1" w:rsidRDefault="00E83F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7410" w:rsidRDefault="00EE7410" w:rsidP="00EE7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Title 41 of the 1976 Code is amended by adding:</w:t>
      </w:r>
    </w:p>
    <w:p w:rsidR="00EE7410" w:rsidRDefault="00EE7410" w:rsidP="00EE7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7410" w:rsidRDefault="00EE7410" w:rsidP="00EE7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26</w:t>
      </w:r>
    </w:p>
    <w:p w:rsidR="00EE7410" w:rsidRDefault="00EE7410" w:rsidP="00EE7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E7410" w:rsidRDefault="00EE7410" w:rsidP="00EE7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Call Center Jobs Act</w:t>
      </w:r>
    </w:p>
    <w:p w:rsidR="00EE7410" w:rsidRDefault="00EE7410" w:rsidP="00EE7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7410" w:rsidRDefault="00EE7410" w:rsidP="00EE7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631201">
        <w:noBreakHyphen/>
      </w:r>
      <w:r>
        <w:t>26</w:t>
      </w:r>
      <w:r w:rsidR="00631201">
        <w:noBreakHyphen/>
      </w:r>
      <w:r>
        <w:t>10.</w:t>
      </w:r>
      <w:r>
        <w:tab/>
        <w:t xml:space="preserve">This chapter is known and may be cited as the </w:t>
      </w:r>
      <w:r w:rsidR="00631201" w:rsidRPr="00631201">
        <w:t>‘</w:t>
      </w:r>
      <w:r>
        <w:t>South Carolina Call Center Jobs Act</w:t>
      </w:r>
      <w:r w:rsidR="00631201" w:rsidRPr="00631201">
        <w:t>’</w:t>
      </w:r>
      <w:r>
        <w:t>.</w:t>
      </w:r>
    </w:p>
    <w:p w:rsidR="00EE7410" w:rsidRDefault="00EE7410" w:rsidP="00EE7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7410" w:rsidRDefault="00EE7410" w:rsidP="00EE7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631201">
        <w:noBreakHyphen/>
      </w:r>
      <w:r>
        <w:t>26</w:t>
      </w:r>
      <w:r w:rsidR="00631201">
        <w:noBreakHyphen/>
      </w:r>
      <w:r>
        <w:t>20. In this chapter:</w:t>
      </w:r>
    </w:p>
    <w:p w:rsidR="00EE7410" w:rsidRDefault="00EE7410" w:rsidP="00EE7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631201" w:rsidRPr="00631201">
        <w:t>‘</w:t>
      </w:r>
      <w:r>
        <w:t>Employer</w:t>
      </w:r>
      <w:r w:rsidR="00631201" w:rsidRPr="00631201">
        <w:t>’</w:t>
      </w:r>
      <w:r>
        <w:t xml:space="preserve"> means a business enterprise that employs, for the purpose of customer service or back</w:t>
      </w:r>
      <w:r w:rsidR="00631201">
        <w:noBreakHyphen/>
      </w:r>
      <w:r>
        <w:t>office operations:</w:t>
      </w:r>
    </w:p>
    <w:p w:rsidR="00EE7410" w:rsidRDefault="00EE7410" w:rsidP="00EE7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fifty or more employees, excluding part</w:t>
      </w:r>
      <w:r w:rsidR="00631201">
        <w:noBreakHyphen/>
      </w:r>
      <w:r>
        <w:t>time employees; or</w:t>
      </w:r>
    </w:p>
    <w:p w:rsidR="00EE7410" w:rsidRDefault="00EE7410" w:rsidP="00EE7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fifty or more employees who in the aggregate work at least fifteen hundred hours per week, exclusive of hours of overtime.</w:t>
      </w:r>
    </w:p>
    <w:p w:rsidR="00EE7410" w:rsidRDefault="00EE7410" w:rsidP="00EE7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631201" w:rsidRPr="00631201">
        <w:t>‘</w:t>
      </w:r>
      <w:r>
        <w:t>Agency</w:t>
      </w:r>
      <w:r w:rsidR="00631201" w:rsidRPr="00631201">
        <w:t>’</w:t>
      </w:r>
      <w:r>
        <w:t xml:space="preserve"> means a state agency or department in the executive branch.</w:t>
      </w:r>
    </w:p>
    <w:p w:rsidR="00EE7410" w:rsidRDefault="00EE7410" w:rsidP="00EE7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(3)</w:t>
      </w:r>
      <w:r>
        <w:tab/>
      </w:r>
      <w:r w:rsidR="00631201" w:rsidRPr="00631201">
        <w:t>‘</w:t>
      </w:r>
      <w:r>
        <w:t>Part</w:t>
      </w:r>
      <w:r w:rsidR="00631201">
        <w:noBreakHyphen/>
      </w:r>
      <w:r>
        <w:t>time employee</w:t>
      </w:r>
      <w:r w:rsidR="00631201" w:rsidRPr="00631201">
        <w:t>’</w:t>
      </w:r>
      <w:r>
        <w:t xml:space="preserve"> means an employee who is employed for an average of fewer than twenty hours per week or who has been employed for fewer than six of the twelve months preceding the date on which notice is required.</w:t>
      </w:r>
    </w:p>
    <w:p w:rsidR="00EE7410" w:rsidRDefault="00EE7410" w:rsidP="00EE7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631201" w:rsidRPr="00631201">
        <w:t>‘</w:t>
      </w:r>
      <w:r>
        <w:t>Director</w:t>
      </w:r>
      <w:r w:rsidR="00631201" w:rsidRPr="00631201">
        <w:t>’</w:t>
      </w:r>
      <w:r>
        <w:t xml:space="preserve"> means the Director of the Department of Labor, Licensing and Regulation.</w:t>
      </w:r>
    </w:p>
    <w:p w:rsidR="00EE7410" w:rsidRDefault="00EE7410" w:rsidP="00EE7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7410" w:rsidRDefault="00EE7410" w:rsidP="00EE7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631201">
        <w:noBreakHyphen/>
      </w:r>
      <w:r>
        <w:t>26</w:t>
      </w:r>
      <w:r w:rsidR="00631201">
        <w:noBreakHyphen/>
      </w:r>
      <w:r>
        <w:t>30.</w:t>
      </w:r>
      <w:r>
        <w:tab/>
        <w:t>(A)</w:t>
      </w:r>
      <w:r>
        <w:tab/>
        <w:t>An employer that intends to relocate a call center or one or more facilities or operating units within a call center comprising at least thirty percent of the call center</w:t>
      </w:r>
      <w:r w:rsidR="00631201" w:rsidRPr="00631201">
        <w:t>’</w:t>
      </w:r>
      <w:r>
        <w:t>s or operating unit</w:t>
      </w:r>
      <w:r w:rsidR="00631201" w:rsidRPr="00631201">
        <w:t>’</w:t>
      </w:r>
      <w:r>
        <w:t>s total volume, when measured against the previous twelve month average call volume of operations or substantially similar operations, from South Carolina to a foreign country shall notify the director at least one hundred twenty days before the relocation.</w:t>
      </w:r>
    </w:p>
    <w:p w:rsidR="00EE7410" w:rsidRDefault="00EE7410" w:rsidP="00EE7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 employer that violates subsection (A) is subject to a civil penalty not to exceed ten thousand dollars for each day of the violation, except that the director may reduce the amount for just cause shown.</w:t>
      </w:r>
    </w:p>
    <w:p w:rsidR="00EE7410" w:rsidRDefault="00EE7410" w:rsidP="00EE7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7410" w:rsidRDefault="00EE7410" w:rsidP="00EE7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631201">
        <w:noBreakHyphen/>
      </w:r>
      <w:r>
        <w:t>26</w:t>
      </w:r>
      <w:r w:rsidR="00631201">
        <w:noBreakHyphen/>
      </w:r>
      <w:r>
        <w:t>40.</w:t>
      </w:r>
      <w:r>
        <w:tab/>
        <w:t>(A)</w:t>
      </w:r>
      <w:r>
        <w:tab/>
        <w:t>The director shall compile a semiannual list of all employers that relocate a call center, or one or more facilities or operating units within a call center comprising at least thirty percent of the call center</w:t>
      </w:r>
      <w:r w:rsidR="00631201" w:rsidRPr="00631201">
        <w:t>’</w:t>
      </w:r>
      <w:r>
        <w:t>s total volume of operations, from the State of South Carolina to a foreign country.</w:t>
      </w:r>
    </w:p>
    <w:p w:rsidR="00EE7410" w:rsidRDefault="00EE7410" w:rsidP="00EE7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director shall distribute the list required in subsection (A) to all agencies and departments in the executive branch of state government.</w:t>
      </w:r>
    </w:p>
    <w:p w:rsidR="00EE7410" w:rsidRDefault="00EE7410" w:rsidP="00EE7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7410" w:rsidRDefault="00EE7410" w:rsidP="00EE7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631201">
        <w:noBreakHyphen/>
      </w:r>
      <w:r>
        <w:t>26</w:t>
      </w:r>
      <w:r w:rsidR="00631201">
        <w:noBreakHyphen/>
      </w:r>
      <w:r>
        <w:t>50.</w:t>
      </w:r>
      <w:r>
        <w:tab/>
        <w:t>(A)</w:t>
      </w:r>
      <w:r>
        <w:tab/>
        <w:t>Except as provided in subsection (B) and notwithstanding another provision of law, an employer that appears on the list described in Section 41</w:t>
      </w:r>
      <w:r w:rsidR="00631201">
        <w:noBreakHyphen/>
      </w:r>
      <w:r>
        <w:t>26</w:t>
      </w:r>
      <w:r w:rsidR="00631201">
        <w:noBreakHyphen/>
      </w:r>
      <w:r>
        <w:t>40(B) is ineligible for a direct or indirect state grant, state loan, or tax benefit reducing the employer</w:t>
      </w:r>
      <w:r w:rsidR="00631201" w:rsidRPr="00631201">
        <w:t>’</w:t>
      </w:r>
      <w:r>
        <w:t>s state tax liability for five years after the date the list is published.</w:t>
      </w:r>
    </w:p>
    <w:p w:rsidR="00EE7410" w:rsidRDefault="00EE7410" w:rsidP="00EE7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Except as provided in subsection (C) and notwithstanding another provision of law, an employer that appears on the list described in Section 41</w:t>
      </w:r>
      <w:r w:rsidR="00631201">
        <w:noBreakHyphen/>
      </w:r>
      <w:r>
        <w:t>26</w:t>
      </w:r>
      <w:r w:rsidR="00631201">
        <w:noBreakHyphen/>
      </w:r>
      <w:r>
        <w:t>40(B) shall remit the unamortized value of a state grant, state loan, tax benefit reducing the employer</w:t>
      </w:r>
      <w:r w:rsidR="00631201" w:rsidRPr="00631201">
        <w:t>’</w:t>
      </w:r>
      <w:r>
        <w:t>s state tax liability, or any other state governmental financial support it has previously received to the director for a deposit in the state general fund.</w:t>
      </w:r>
    </w:p>
    <w:p w:rsidR="00EE7410" w:rsidRDefault="00EE7410" w:rsidP="00EE7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director, in consultation with the appropriate agency providing a loan or grant, may waive the ineligibility requirement provided under subsection (A) if the employer applying for the loan or grant demonstrates that a lack of the loan or grant would result in substantial job loss in the State of South Carolina or harm the environment.</w:t>
      </w:r>
    </w:p>
    <w:p w:rsidR="00EE7410" w:rsidRDefault="00EE7410" w:rsidP="00EE7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7410" w:rsidRDefault="00EE7410" w:rsidP="00EE7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631201">
        <w:noBreakHyphen/>
      </w:r>
      <w:r>
        <w:t>26</w:t>
      </w:r>
      <w:r w:rsidR="00631201">
        <w:noBreakHyphen/>
      </w:r>
      <w:r>
        <w:t>60.</w:t>
      </w:r>
      <w:r>
        <w:tab/>
        <w:t>The head of each agency shall ensure that all state business</w:t>
      </w:r>
      <w:r w:rsidR="00631201">
        <w:noBreakHyphen/>
      </w:r>
      <w:r>
        <w:t>related call center and customer service work of that agency which is contracted to an outside provider, be performed by outside contractors or their agents or subcontractors entirely within the State of South Carolina.  Present outside contractors who currently perform work outside the State of South Carolina have two years following the enactment of this chapter to comply with the provisions of this section, provided, that if these grandfathered contractors add customer service employees who will perform work on these contracts, those new employees must be employed within the State of South Carolina.</w:t>
      </w:r>
    </w:p>
    <w:p w:rsidR="00EE7410" w:rsidRDefault="00EE7410" w:rsidP="00EE7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7410" w:rsidRDefault="00EE7410" w:rsidP="00EE7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631201">
        <w:noBreakHyphen/>
      </w:r>
      <w:r>
        <w:t>26</w:t>
      </w:r>
      <w:r w:rsidR="00631201">
        <w:noBreakHyphen/>
      </w:r>
      <w:r>
        <w:t>70.</w:t>
      </w:r>
      <w:r>
        <w:tab/>
        <w:t>A provision of this chapter may not be construed to permit withholding or denial of payments, compensation, or benefits under another state law, including state unemployment compensation, disability payments, or worker retraining or readjustment funds to workers employed by employers that relocate to a foreign country.”</w:t>
      </w:r>
    </w:p>
    <w:p w:rsidR="00EE7410" w:rsidRDefault="00EE7410" w:rsidP="00EE7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7410" w:rsidRDefault="00EE7410" w:rsidP="00EE7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539BC" w:rsidRDefault="00631201" w:rsidP="00F33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42ED" w:rsidRDefault="00F742ED" w:rsidP="00F742ED">
      <w:pPr>
        <w:suppressAutoHyphens/>
      </w:pPr>
    </w:p>
    <w:sectPr w:rsidR="00F742ED" w:rsidSect="00F742E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3FB1" w:rsidRDefault="00E83FB1" w:rsidP="009F0C77">
      <w:r>
        <w:separator/>
      </w:r>
    </w:p>
  </w:endnote>
  <w:endnote w:type="continuationSeparator" w:id="0">
    <w:p w:rsidR="00E83FB1" w:rsidRDefault="00E83FB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C9E6BF5-CB48-4A3D-BCAB-A053F20A2962}"/>
    <w:embedBold r:id="rId2" w:fontKey="{31850ABF-CA2A-4218-B043-ADCF17F5B562}"/>
  </w:font>
  <w:font w:name="Calibri">
    <w:panose1 w:val="020F0502020204030204"/>
    <w:charset w:val="00"/>
    <w:family w:val="swiss"/>
    <w:pitch w:val="variable"/>
    <w:sig w:usb0="E0002EFF" w:usb1="C000247B" w:usb2="00000009" w:usb3="00000000" w:csb0="000001FF" w:csb1="00000000"/>
    <w:embedRegular r:id="rId3" w:fontKey="{9D773568-CFDD-4515-B571-28058266988F}"/>
  </w:font>
  <w:font w:name="Segoe UI">
    <w:panose1 w:val="020B0502040204020203"/>
    <w:charset w:val="00"/>
    <w:family w:val="swiss"/>
    <w:pitch w:val="variable"/>
    <w:sig w:usb0="E4002EFF" w:usb1="C000E47F" w:usb2="00000009" w:usb3="00000000" w:csb0="000001FF" w:csb1="00000000"/>
    <w:embedRegular r:id="rId4" w:fontKey="{7C1CB6C3-E895-4850-806E-FD0F897200E1}"/>
  </w:font>
  <w:font w:name="Cambria">
    <w:panose1 w:val="02040503050406030204"/>
    <w:charset w:val="00"/>
    <w:family w:val="roman"/>
    <w:pitch w:val="variable"/>
    <w:sig w:usb0="E00006FF" w:usb1="420024FF" w:usb2="02000000" w:usb3="00000000" w:csb0="0000019F" w:csb1="00000000"/>
    <w:embedRegular r:id="rId5" w:fontKey="{3BEF8CC5-816A-47D5-A364-D939964F31E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42ED" w:rsidRPr="008C44A3" w:rsidRDefault="00F742ED" w:rsidP="008C44A3">
    <w:pPr>
      <w:pStyle w:val="Footer"/>
      <w:tabs>
        <w:tab w:val="clear" w:pos="4680"/>
        <w:tab w:val="clear" w:pos="9360"/>
        <w:tab w:val="center" w:pos="2995"/>
      </w:tabs>
      <w:spacing w:before="120"/>
    </w:pPr>
    <w:r>
      <w:t>[3186]</w:t>
    </w:r>
    <w:r>
      <w:tab/>
    </w:r>
    <w:r>
      <w:fldChar w:fldCharType="begin"/>
    </w:r>
    <w:r>
      <w:instrText xml:space="preserve"> PAGE  \* MERGEFORMAT </w:instrText>
    </w:r>
    <w:r>
      <w:fldChar w:fldCharType="separate"/>
    </w:r>
    <w:r w:rsidR="00AE69E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3FB1" w:rsidRDefault="00E83FB1" w:rsidP="009F0C77">
      <w:r>
        <w:separator/>
      </w:r>
    </w:p>
  </w:footnote>
  <w:footnote w:type="continuationSeparator" w:id="0">
    <w:p w:rsidR="00E83FB1" w:rsidRDefault="00E83FB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15PH21"/>
    <w:docVar w:name="CoverBillType" w:val="b"/>
    <w:docVar w:name="DocPath" w:val="L:\Council\bills\JN\3315PH21.DOCX"/>
    <w:docVar w:name="dvBillNumber" w:val="3186"/>
    <w:docVar w:name="dvBillNumberPrefix" w:val="H. "/>
    <w:docVar w:name="dvOriginalBody" w:val="House"/>
    <w:docVar w:name="dvSteno" w:val="JN"/>
    <w:docVar w:name="NameofBody" w:val="h"/>
    <w:docVar w:name="vGroup2" w:val="Council"/>
  </w:docVars>
  <w:rsids>
    <w:rsidRoot w:val="00E83FB1"/>
    <w:rsid w:val="00011869"/>
    <w:rsid w:val="00015CD6"/>
    <w:rsid w:val="000539BC"/>
    <w:rsid w:val="000E0100"/>
    <w:rsid w:val="000E1785"/>
    <w:rsid w:val="000F40FA"/>
    <w:rsid w:val="001035F1"/>
    <w:rsid w:val="0010776B"/>
    <w:rsid w:val="00133E66"/>
    <w:rsid w:val="001435A3"/>
    <w:rsid w:val="00146ED3"/>
    <w:rsid w:val="00151044"/>
    <w:rsid w:val="0017115D"/>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275E2"/>
    <w:rsid w:val="00336AD0"/>
    <w:rsid w:val="003519D5"/>
    <w:rsid w:val="0037079A"/>
    <w:rsid w:val="003C4DAB"/>
    <w:rsid w:val="003D01E8"/>
    <w:rsid w:val="003E5288"/>
    <w:rsid w:val="003F6D79"/>
    <w:rsid w:val="0041760A"/>
    <w:rsid w:val="00417C01"/>
    <w:rsid w:val="004403BD"/>
    <w:rsid w:val="00461441"/>
    <w:rsid w:val="004809EE"/>
    <w:rsid w:val="004820D0"/>
    <w:rsid w:val="004D6D34"/>
    <w:rsid w:val="004E7D54"/>
    <w:rsid w:val="005273C6"/>
    <w:rsid w:val="00530A69"/>
    <w:rsid w:val="00545593"/>
    <w:rsid w:val="00556EBF"/>
    <w:rsid w:val="00577C6C"/>
    <w:rsid w:val="005A62FE"/>
    <w:rsid w:val="005C2FE2"/>
    <w:rsid w:val="005E2BC9"/>
    <w:rsid w:val="00605102"/>
    <w:rsid w:val="006215AA"/>
    <w:rsid w:val="00631201"/>
    <w:rsid w:val="0068555E"/>
    <w:rsid w:val="006913C9"/>
    <w:rsid w:val="0069470D"/>
    <w:rsid w:val="006D58AA"/>
    <w:rsid w:val="00734F00"/>
    <w:rsid w:val="00736959"/>
    <w:rsid w:val="00762B24"/>
    <w:rsid w:val="007A70AE"/>
    <w:rsid w:val="00833F3D"/>
    <w:rsid w:val="008362E8"/>
    <w:rsid w:val="0085786E"/>
    <w:rsid w:val="008A1768"/>
    <w:rsid w:val="008A489F"/>
    <w:rsid w:val="008C44A3"/>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69EB"/>
    <w:rsid w:val="00B25BD9"/>
    <w:rsid w:val="00B412D4"/>
    <w:rsid w:val="00B64FFF"/>
    <w:rsid w:val="00BE3C22"/>
    <w:rsid w:val="00C0345E"/>
    <w:rsid w:val="00C21ABE"/>
    <w:rsid w:val="00C31C95"/>
    <w:rsid w:val="00C3483A"/>
    <w:rsid w:val="00C678E8"/>
    <w:rsid w:val="00C74E9D"/>
    <w:rsid w:val="00C826DD"/>
    <w:rsid w:val="00C82FD3"/>
    <w:rsid w:val="00C92819"/>
    <w:rsid w:val="00CA7DC7"/>
    <w:rsid w:val="00CC6B7B"/>
    <w:rsid w:val="00CD2089"/>
    <w:rsid w:val="00D54CC3"/>
    <w:rsid w:val="00D73A67"/>
    <w:rsid w:val="00D970A9"/>
    <w:rsid w:val="00DF3845"/>
    <w:rsid w:val="00E41911"/>
    <w:rsid w:val="00E44B57"/>
    <w:rsid w:val="00E83FB1"/>
    <w:rsid w:val="00E92EEF"/>
    <w:rsid w:val="00EE7410"/>
    <w:rsid w:val="00EF2368"/>
    <w:rsid w:val="00EF241B"/>
    <w:rsid w:val="00F24442"/>
    <w:rsid w:val="00F33251"/>
    <w:rsid w:val="00F50AE3"/>
    <w:rsid w:val="00F655B7"/>
    <w:rsid w:val="00F656BA"/>
    <w:rsid w:val="00F67CF1"/>
    <w:rsid w:val="00F728AA"/>
    <w:rsid w:val="00F742ED"/>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725695-5904-4AC5-82DD-27EF6D85C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312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1201"/>
    <w:rPr>
      <w:rFonts w:ascii="Segoe UI" w:eastAsia="Times New Roman" w:hAnsi="Segoe UI" w:cs="Segoe UI"/>
      <w:sz w:val="18"/>
      <w:szCs w:val="18"/>
    </w:rPr>
  </w:style>
  <w:style w:type="character" w:styleId="Hyperlink">
    <w:name w:val="Hyperlink"/>
    <w:basedOn w:val="DefaultParagraphFont"/>
    <w:uiPriority w:val="99"/>
    <w:unhideWhenUsed/>
    <w:rsid w:val="00F742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186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8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5086F5-D9D1-4D14-A8C2-7C4D99C21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876</Words>
  <Characters>4998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3186: Subject not yet available - South Carolina Legislature Online</dc:title>
  <dc:creator>Julie Newboult</dc:creator>
  <cp:lastModifiedBy>S Wilson</cp:lastModifiedBy>
  <cp:revision>2</cp:revision>
  <cp:lastPrinted>2020-12-08T20:34:00Z</cp:lastPrinted>
  <dcterms:created xsi:type="dcterms:W3CDTF">2021-01-26T14:16:00Z</dcterms:created>
  <dcterms:modified xsi:type="dcterms:W3CDTF">2021-01-26T14:16:00Z</dcterms:modified>
</cp:coreProperties>
</file>