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3B4B" w:rsidRDefault="00E53B4B" w:rsidP="00E53B4B">
      <w:pPr>
        <w:widowControl w:val="0"/>
        <w:jc w:val="center"/>
      </w:pPr>
      <w:r w:rsidRPr="00E53B4B">
        <w:rPr>
          <w:b/>
        </w:rPr>
        <w:t>South Carolina General Assembly</w:t>
      </w:r>
    </w:p>
    <w:p w:rsidR="00E53B4B" w:rsidRDefault="00E53B4B" w:rsidP="00E53B4B">
      <w:pPr>
        <w:widowControl w:val="0"/>
        <w:jc w:val="center"/>
      </w:pPr>
      <w:r>
        <w:t>124th Session, 2021-2022</w:t>
      </w:r>
    </w:p>
    <w:p w:rsidR="00E53B4B" w:rsidRDefault="00E53B4B" w:rsidP="00E53B4B">
      <w:pPr>
        <w:widowControl w:val="0"/>
        <w:jc w:val="left"/>
      </w:pPr>
    </w:p>
    <w:p w:rsidR="00E53B4B" w:rsidRDefault="00E53B4B" w:rsidP="00E53B4B">
      <w:pPr>
        <w:widowControl w:val="0"/>
        <w:jc w:val="left"/>
        <w:rPr>
          <w:b/>
        </w:rPr>
      </w:pPr>
      <w:r w:rsidRPr="00E53B4B">
        <w:rPr>
          <w:b/>
        </w:rPr>
        <w:t>H. 3373</w:t>
      </w:r>
    </w:p>
    <w:p w:rsidR="00E53B4B" w:rsidRDefault="00E53B4B" w:rsidP="00E53B4B">
      <w:pPr>
        <w:widowControl w:val="0"/>
        <w:jc w:val="left"/>
        <w:rPr>
          <w:b/>
        </w:rPr>
      </w:pPr>
    </w:p>
    <w:p w:rsidR="00E53B4B" w:rsidRDefault="00E53B4B" w:rsidP="00E53B4B">
      <w:pPr>
        <w:widowControl w:val="0"/>
        <w:jc w:val="left"/>
      </w:pPr>
      <w:r w:rsidRPr="00E53B4B">
        <w:rPr>
          <w:b/>
        </w:rPr>
        <w:t>STATUS INFORMATION</w:t>
      </w:r>
    </w:p>
    <w:p w:rsidR="00E53B4B" w:rsidRDefault="00E53B4B" w:rsidP="00E53B4B">
      <w:pPr>
        <w:widowControl w:val="0"/>
        <w:jc w:val="left"/>
      </w:pPr>
    </w:p>
    <w:p w:rsidR="00E53B4B" w:rsidRDefault="00E53B4B" w:rsidP="00E53B4B">
      <w:pPr>
        <w:widowControl w:val="0"/>
        <w:jc w:val="left"/>
      </w:pPr>
      <w:r>
        <w:t>General Bill</w:t>
      </w:r>
    </w:p>
    <w:p w:rsidR="00E53B4B" w:rsidRDefault="00E33476" w:rsidP="00E53B4B">
      <w:pPr>
        <w:widowControl w:val="0"/>
        <w:jc w:val="left"/>
      </w:pPr>
      <w:r>
        <w:t>Sponsors: Reps. Pendarvis, Robinson and Hosey</w:t>
      </w:r>
    </w:p>
    <w:p w:rsidR="00E53B4B" w:rsidRDefault="00E53B4B" w:rsidP="00E53B4B">
      <w:pPr>
        <w:widowControl w:val="0"/>
        <w:jc w:val="left"/>
      </w:pPr>
      <w:r>
        <w:t>Document Path: l:\council\bills\agm\19823cz21.docx</w:t>
      </w:r>
    </w:p>
    <w:p w:rsidR="00E53B4B" w:rsidRDefault="00E53B4B" w:rsidP="00E53B4B">
      <w:pPr>
        <w:widowControl w:val="0"/>
        <w:jc w:val="left"/>
      </w:pPr>
    </w:p>
    <w:p w:rsidR="00032FA0" w:rsidRDefault="00032FA0" w:rsidP="00E53B4B">
      <w:pPr>
        <w:widowControl w:val="0"/>
        <w:jc w:val="left"/>
      </w:pPr>
      <w:r>
        <w:t>Introduced in the House on January 12, 2021</w:t>
      </w:r>
    </w:p>
    <w:p w:rsidR="00032FA0" w:rsidRPr="00032FA0" w:rsidRDefault="00032FA0" w:rsidP="00E53B4B">
      <w:pPr>
        <w:widowControl w:val="0"/>
        <w:jc w:val="left"/>
      </w:pPr>
      <w:r>
        <w:t xml:space="preserve">Currently residing in the House Committee on </w:t>
      </w:r>
      <w:r w:rsidRPr="00032FA0">
        <w:rPr>
          <w:b/>
        </w:rPr>
        <w:t>Judiciary</w:t>
      </w:r>
    </w:p>
    <w:p w:rsidR="00032FA0" w:rsidRDefault="00032FA0" w:rsidP="00E53B4B">
      <w:pPr>
        <w:widowControl w:val="0"/>
        <w:jc w:val="left"/>
      </w:pPr>
    </w:p>
    <w:p w:rsidR="00E53B4B" w:rsidRDefault="002A564F" w:rsidP="00E53B4B">
      <w:pPr>
        <w:widowControl w:val="0"/>
        <w:jc w:val="left"/>
      </w:pPr>
      <w:r>
        <w:t>Summary: SC Housing Court</w:t>
      </w:r>
    </w:p>
    <w:p w:rsidR="00E53B4B" w:rsidRDefault="00E53B4B" w:rsidP="00E53B4B">
      <w:pPr>
        <w:widowControl w:val="0"/>
        <w:jc w:val="left"/>
      </w:pPr>
    </w:p>
    <w:p w:rsidR="00E53B4B" w:rsidRDefault="00E53B4B" w:rsidP="00E53B4B">
      <w:pPr>
        <w:widowControl w:val="0"/>
        <w:jc w:val="left"/>
      </w:pPr>
    </w:p>
    <w:p w:rsidR="00E53B4B" w:rsidRDefault="00E53B4B" w:rsidP="00E53B4B">
      <w:pPr>
        <w:widowControl w:val="0"/>
        <w:tabs>
          <w:tab w:val="center" w:pos="590"/>
          <w:tab w:val="center" w:pos="1440"/>
          <w:tab w:val="left" w:pos="1872"/>
          <w:tab w:val="left" w:pos="9187"/>
        </w:tabs>
        <w:jc w:val="left"/>
      </w:pPr>
      <w:r w:rsidRPr="00E53B4B">
        <w:rPr>
          <w:b/>
        </w:rPr>
        <w:t>HISTORY OF LEGISLATIVE ACTIONS</w:t>
      </w:r>
    </w:p>
    <w:p w:rsidR="00E53B4B" w:rsidRDefault="00E53B4B" w:rsidP="00E53B4B">
      <w:pPr>
        <w:widowControl w:val="0"/>
        <w:tabs>
          <w:tab w:val="center" w:pos="590"/>
          <w:tab w:val="center" w:pos="1440"/>
          <w:tab w:val="left" w:pos="1872"/>
          <w:tab w:val="left" w:pos="9187"/>
        </w:tabs>
        <w:jc w:val="left"/>
      </w:pPr>
    </w:p>
    <w:p w:rsidR="00E53B4B" w:rsidRPr="00E53B4B" w:rsidRDefault="00E53B4B" w:rsidP="00E53B4B">
      <w:pPr>
        <w:widowControl w:val="0"/>
        <w:tabs>
          <w:tab w:val="center" w:pos="590"/>
          <w:tab w:val="center" w:pos="1440"/>
          <w:tab w:val="left" w:pos="1872"/>
          <w:tab w:val="left" w:pos="9187"/>
        </w:tabs>
        <w:jc w:val="left"/>
      </w:pPr>
      <w:r w:rsidRPr="00E53B4B">
        <w:rPr>
          <w:u w:val="single"/>
        </w:rPr>
        <w:tab/>
        <w:t>Date</w:t>
      </w:r>
      <w:r w:rsidRPr="00E53B4B">
        <w:rPr>
          <w:u w:val="single"/>
        </w:rPr>
        <w:tab/>
        <w:t>Body</w:t>
      </w:r>
      <w:r w:rsidRPr="00E53B4B">
        <w:rPr>
          <w:u w:val="single"/>
        </w:rPr>
        <w:tab/>
        <w:t>Action Description with journal page number</w:t>
      </w:r>
      <w:r w:rsidRPr="00E53B4B">
        <w:rPr>
          <w:u w:val="single"/>
        </w:rPr>
        <w:tab/>
      </w:r>
    </w:p>
    <w:p w:rsidR="000E4CD9" w:rsidRDefault="000E4CD9" w:rsidP="000E4CD9">
      <w:pPr>
        <w:widowControl w:val="0"/>
        <w:tabs>
          <w:tab w:val="right" w:pos="1008"/>
          <w:tab w:val="left" w:pos="1152"/>
          <w:tab w:val="left" w:pos="1872"/>
          <w:tab w:val="left" w:pos="9187"/>
        </w:tabs>
        <w:ind w:left="2088" w:hanging="2088"/>
      </w:pPr>
      <w:r>
        <w:tab/>
        <w:t>12/9/2020</w:t>
      </w:r>
      <w:r>
        <w:tab/>
        <w:t>House</w:t>
      </w:r>
      <w:r>
        <w:tab/>
        <w:t>Prefiled</w:t>
      </w:r>
    </w:p>
    <w:p w:rsidR="000E4CD9" w:rsidRDefault="000E4CD9" w:rsidP="000E4CD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C81CBA">
        <w:rPr>
          <w:b/>
        </w:rPr>
        <w:t>Judiciary</w:t>
      </w:r>
    </w:p>
    <w:p w:rsidR="000E4CD9" w:rsidRDefault="000E4CD9" w:rsidP="000E4CD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C81CBA">
          <w:rPr>
            <w:rStyle w:val="Hyperlink"/>
          </w:rPr>
          <w:t>House Journal</w:t>
        </w:r>
        <w:r w:rsidRPr="00C81CBA">
          <w:rPr>
            <w:rStyle w:val="Hyperlink"/>
          </w:rPr>
          <w:noBreakHyphen/>
          <w:t>page 175</w:t>
        </w:r>
      </w:hyperlink>
      <w:r>
        <w:t>)</w:t>
      </w:r>
    </w:p>
    <w:p w:rsidR="000E4CD9" w:rsidRDefault="000E4CD9" w:rsidP="000E4CD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C81CBA">
        <w:rPr>
          <w:b/>
        </w:rPr>
        <w:t>Judiciary</w:t>
      </w:r>
      <w:r>
        <w:t xml:space="preserve"> (</w:t>
      </w:r>
      <w:hyperlink r:id="rId8" w:history="1">
        <w:r w:rsidRPr="00C81CBA">
          <w:rPr>
            <w:rStyle w:val="Hyperlink"/>
          </w:rPr>
          <w:t>House Journal</w:t>
        </w:r>
        <w:r w:rsidRPr="00C81CBA">
          <w:rPr>
            <w:rStyle w:val="Hyperlink"/>
          </w:rPr>
          <w:noBreakHyphen/>
          <w:t>page 175</w:t>
        </w:r>
      </w:hyperlink>
      <w:r>
        <w:t>)</w:t>
      </w:r>
    </w:p>
    <w:p w:rsidR="000E4CD9" w:rsidRDefault="000E4CD9" w:rsidP="000E4CD9">
      <w:pPr>
        <w:widowControl w:val="0"/>
        <w:tabs>
          <w:tab w:val="right" w:pos="1008"/>
          <w:tab w:val="left" w:pos="1152"/>
          <w:tab w:val="left" w:pos="1872"/>
          <w:tab w:val="left" w:pos="9187"/>
        </w:tabs>
        <w:ind w:left="2088" w:hanging="2088"/>
      </w:pPr>
    </w:p>
    <w:p w:rsidR="00E53B4B" w:rsidRDefault="00E53B4B" w:rsidP="00E53B4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53B4B">
          <w:rPr>
            <w:rStyle w:val="Hyperlink"/>
          </w:rPr>
          <w:t>legislative information</w:t>
        </w:r>
      </w:hyperlink>
      <w:r>
        <w:t xml:space="preserve"> at the website</w:t>
      </w:r>
    </w:p>
    <w:p w:rsidR="00E53B4B" w:rsidRDefault="00E53B4B" w:rsidP="00E53B4B">
      <w:pPr>
        <w:widowControl w:val="0"/>
        <w:tabs>
          <w:tab w:val="right" w:pos="1008"/>
          <w:tab w:val="left" w:pos="1152"/>
          <w:tab w:val="left" w:pos="1872"/>
          <w:tab w:val="left" w:pos="9187"/>
        </w:tabs>
        <w:ind w:left="2088" w:hanging="2088"/>
        <w:jc w:val="left"/>
      </w:pPr>
    </w:p>
    <w:p w:rsidR="00E53B4B" w:rsidRPr="00E53B4B" w:rsidRDefault="00E53B4B" w:rsidP="00E53B4B">
      <w:pPr>
        <w:widowControl w:val="0"/>
        <w:tabs>
          <w:tab w:val="right" w:pos="1008"/>
          <w:tab w:val="left" w:pos="1152"/>
          <w:tab w:val="left" w:pos="1872"/>
          <w:tab w:val="left" w:pos="9187"/>
        </w:tabs>
        <w:ind w:left="2088" w:hanging="2088"/>
        <w:jc w:val="left"/>
      </w:pPr>
    </w:p>
    <w:p w:rsidR="00E53B4B" w:rsidRDefault="00E53B4B" w:rsidP="00E53B4B">
      <w:pPr>
        <w:widowControl w:val="0"/>
        <w:jc w:val="left"/>
      </w:pPr>
      <w:r w:rsidRPr="00E53B4B">
        <w:rPr>
          <w:b/>
        </w:rPr>
        <w:t>VERSIONS OF THIS BILL</w:t>
      </w:r>
    </w:p>
    <w:p w:rsidR="00E53B4B" w:rsidRDefault="00E53B4B" w:rsidP="00E53B4B">
      <w:pPr>
        <w:widowControl w:val="0"/>
        <w:jc w:val="left"/>
      </w:pPr>
    </w:p>
    <w:p w:rsidR="00E53B4B" w:rsidRDefault="00081DF6" w:rsidP="00E53B4B">
      <w:pPr>
        <w:widowControl w:val="0"/>
        <w:jc w:val="left"/>
      </w:pPr>
      <w:hyperlink r:id="rId10" w:history="1">
        <w:r w:rsidR="00E53B4B">
          <w:rPr>
            <w:rStyle w:val="Hyperlink"/>
          </w:rPr>
          <w:t>12/9/2020</w:t>
        </w:r>
      </w:hyperlink>
    </w:p>
    <w:p w:rsidR="00E53B4B" w:rsidRDefault="00E53B4B" w:rsidP="00E53B4B"/>
    <w:p w:rsidR="00E53B4B" w:rsidRDefault="00E53B4B" w:rsidP="00E53B4B">
      <w:pPr>
        <w:sectPr w:rsidR="00E53B4B" w:rsidSect="00E53B4B">
          <w:pgSz w:w="12240" w:h="15840" w:code="1"/>
          <w:pgMar w:top="1080" w:right="1440" w:bottom="1080" w:left="1440" w:header="720" w:footer="720" w:gutter="0"/>
          <w:cols w:space="720"/>
          <w:noEndnote/>
          <w:docGrid w:linePitch="360"/>
        </w:sectPr>
      </w:pPr>
    </w:p>
    <w:p w:rsidR="0007513F" w:rsidRDefault="0007513F" w:rsidP="00645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AAA" w:rsidRDefault="00645AAA" w:rsidP="00645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AAA" w:rsidRDefault="00645AAA" w:rsidP="00645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AAA" w:rsidRDefault="00645AAA" w:rsidP="00645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AAA" w:rsidRDefault="00645AAA" w:rsidP="00645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AAA" w:rsidRDefault="00645AAA" w:rsidP="00645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AAA" w:rsidRDefault="00645AAA" w:rsidP="00645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5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783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01D95">
        <w:rPr>
          <w:color w:val="000000" w:themeColor="text1"/>
          <w:u w:color="000000" w:themeColor="text1"/>
        </w:rPr>
        <w:t>TO AMEND THE CODE OF LAWS OF SOUTH CAROLINA, 1976, BY ADDING ARTICLE 11, TO CHAPTER 40, TITLE 27 ENTITLED “SOUTH CAROLINA HOUSING COURT”</w:t>
      </w:r>
      <w:r w:rsidR="003C5641">
        <w:rPr>
          <w:color w:val="000000" w:themeColor="text1"/>
          <w:u w:color="000000" w:themeColor="text1"/>
        </w:rPr>
        <w:t xml:space="preserve"> SO AS</w:t>
      </w:r>
      <w:r w:rsidRPr="00D01D95">
        <w:rPr>
          <w:color w:val="000000" w:themeColor="text1"/>
          <w:u w:color="000000" w:themeColor="text1"/>
        </w:rPr>
        <w:t xml:space="preserve"> TO REQUIRE EACH COUNTY TO ESTABLISH A HOUSING COURT WITHIN THE COUNTY</w:t>
      </w:r>
      <w:r w:rsidR="00F61492" w:rsidRPr="00F61492">
        <w:rPr>
          <w:color w:val="000000" w:themeColor="text1"/>
          <w:u w:color="000000" w:themeColor="text1"/>
        </w:rPr>
        <w:t>’</w:t>
      </w:r>
      <w:r w:rsidRPr="00D01D95">
        <w:rPr>
          <w:color w:val="000000" w:themeColor="text1"/>
          <w:u w:color="000000" w:themeColor="text1"/>
        </w:rPr>
        <w:t xml:space="preserve">S EXISTING MAGISTRATES COURT, TO PROVIDE </w:t>
      </w:r>
      <w:r w:rsidR="00C9624B">
        <w:rPr>
          <w:color w:val="000000" w:themeColor="text1"/>
          <w:u w:color="000000" w:themeColor="text1"/>
        </w:rPr>
        <w:t>FOR THE TRANSFER OF A CASE IN CERTAIN CIRCUMSTANCES, AND TO PROVIDE THAT A TENANT HAS A RIGHT TO COUNSEL; TO AMEND SECTION 27</w:t>
      </w:r>
      <w:r w:rsidR="00F61492">
        <w:rPr>
          <w:color w:val="000000" w:themeColor="text1"/>
          <w:u w:color="000000" w:themeColor="text1"/>
        </w:rPr>
        <w:noBreakHyphen/>
      </w:r>
      <w:r w:rsidR="00C9624B">
        <w:rPr>
          <w:color w:val="000000" w:themeColor="text1"/>
          <w:u w:color="000000" w:themeColor="text1"/>
        </w:rPr>
        <w:t>40</w:t>
      </w:r>
      <w:r w:rsidR="00F61492">
        <w:rPr>
          <w:color w:val="000000" w:themeColor="text1"/>
          <w:u w:color="000000" w:themeColor="text1"/>
        </w:rPr>
        <w:noBreakHyphen/>
      </w:r>
      <w:r w:rsidR="00C9624B">
        <w:rPr>
          <w:color w:val="000000" w:themeColor="text1"/>
          <w:u w:color="000000" w:themeColor="text1"/>
        </w:rPr>
        <w:t xml:space="preserve">210, RELATING TO GENERAL DEFINITIONS, SO AS TO DEFINE THE TERM </w:t>
      </w:r>
      <w:r w:rsidR="00645F2F">
        <w:rPr>
          <w:color w:val="000000" w:themeColor="text1"/>
          <w:u w:color="000000" w:themeColor="text1"/>
        </w:rPr>
        <w:t>“</w:t>
      </w:r>
      <w:r w:rsidR="00C9624B">
        <w:rPr>
          <w:color w:val="000000" w:themeColor="text1"/>
          <w:u w:color="000000" w:themeColor="text1"/>
        </w:rPr>
        <w:t>COURT</w:t>
      </w:r>
      <w:r w:rsidR="00645F2F">
        <w:rPr>
          <w:color w:val="000000" w:themeColor="text1"/>
          <w:u w:color="000000" w:themeColor="text1"/>
        </w:rPr>
        <w:t>”</w:t>
      </w:r>
      <w:r w:rsidR="00C9624B">
        <w:rPr>
          <w:color w:val="000000" w:themeColor="text1"/>
          <w:u w:color="000000" w:themeColor="text1"/>
        </w:rPr>
        <w:t>; AND TO AMEND SECTIONS 27</w:t>
      </w:r>
      <w:r w:rsidR="00F61492">
        <w:rPr>
          <w:color w:val="000000" w:themeColor="text1"/>
          <w:u w:color="000000" w:themeColor="text1"/>
        </w:rPr>
        <w:noBreakHyphen/>
      </w:r>
      <w:r w:rsidR="00C9624B">
        <w:rPr>
          <w:color w:val="000000" w:themeColor="text1"/>
          <w:u w:color="000000" w:themeColor="text1"/>
        </w:rPr>
        <w:t>40</w:t>
      </w:r>
      <w:r w:rsidR="00F61492">
        <w:rPr>
          <w:color w:val="000000" w:themeColor="text1"/>
          <w:u w:color="000000" w:themeColor="text1"/>
        </w:rPr>
        <w:noBreakHyphen/>
      </w:r>
      <w:r w:rsidR="00C9624B">
        <w:rPr>
          <w:color w:val="000000" w:themeColor="text1"/>
          <w:u w:color="000000" w:themeColor="text1"/>
        </w:rPr>
        <w:t>130, 27</w:t>
      </w:r>
      <w:r w:rsidR="00F61492">
        <w:rPr>
          <w:color w:val="000000" w:themeColor="text1"/>
          <w:u w:color="000000" w:themeColor="text1"/>
        </w:rPr>
        <w:noBreakHyphen/>
      </w:r>
      <w:r w:rsidR="00C9624B">
        <w:rPr>
          <w:color w:val="000000" w:themeColor="text1"/>
          <w:u w:color="000000" w:themeColor="text1"/>
        </w:rPr>
        <w:t>40</w:t>
      </w:r>
      <w:r w:rsidR="00F61492">
        <w:rPr>
          <w:color w:val="000000" w:themeColor="text1"/>
          <w:u w:color="000000" w:themeColor="text1"/>
        </w:rPr>
        <w:noBreakHyphen/>
      </w:r>
      <w:r w:rsidR="00C9624B">
        <w:rPr>
          <w:color w:val="000000" w:themeColor="text1"/>
          <w:u w:color="000000" w:themeColor="text1"/>
        </w:rPr>
        <w:t>610, 27</w:t>
      </w:r>
      <w:r w:rsidR="00F61492">
        <w:rPr>
          <w:color w:val="000000" w:themeColor="text1"/>
          <w:u w:color="000000" w:themeColor="text1"/>
        </w:rPr>
        <w:noBreakHyphen/>
      </w:r>
      <w:r w:rsidR="00C9624B">
        <w:rPr>
          <w:color w:val="000000" w:themeColor="text1"/>
          <w:u w:color="000000" w:themeColor="text1"/>
        </w:rPr>
        <w:t>40</w:t>
      </w:r>
      <w:r w:rsidR="00F61492">
        <w:rPr>
          <w:color w:val="000000" w:themeColor="text1"/>
          <w:u w:color="000000" w:themeColor="text1"/>
        </w:rPr>
        <w:noBreakHyphen/>
      </w:r>
      <w:r w:rsidR="00C9624B">
        <w:rPr>
          <w:color w:val="000000" w:themeColor="text1"/>
          <w:u w:color="000000" w:themeColor="text1"/>
        </w:rPr>
        <w:t>710, AND 27</w:t>
      </w:r>
      <w:r w:rsidR="00F61492">
        <w:rPr>
          <w:color w:val="000000" w:themeColor="text1"/>
          <w:u w:color="000000" w:themeColor="text1"/>
        </w:rPr>
        <w:noBreakHyphen/>
      </w:r>
      <w:r w:rsidR="00C9624B">
        <w:rPr>
          <w:color w:val="000000" w:themeColor="text1"/>
          <w:u w:color="000000" w:themeColor="text1"/>
        </w:rPr>
        <w:t>40</w:t>
      </w:r>
      <w:r w:rsidR="00F61492">
        <w:rPr>
          <w:color w:val="000000" w:themeColor="text1"/>
          <w:u w:color="000000" w:themeColor="text1"/>
        </w:rPr>
        <w:noBreakHyphen/>
      </w:r>
      <w:r w:rsidR="00C9624B">
        <w:rPr>
          <w:color w:val="000000" w:themeColor="text1"/>
          <w:u w:color="000000" w:themeColor="text1"/>
        </w:rPr>
        <w:t>780, ALL RELATING TO LEGAL REMEDIES UNDER THE RESIDENTIAL LANDLORD AND TENANT ACT,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783A" w:rsidRDefault="009478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783A" w:rsidRDefault="009478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E5D" w:rsidRPr="00D01D95" w:rsidRDefault="0094783A"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B5E5D" w:rsidRPr="00D01D95">
        <w:rPr>
          <w:color w:val="000000" w:themeColor="text1"/>
          <w:u w:color="000000" w:themeColor="text1"/>
        </w:rPr>
        <w:t xml:space="preserve">Chapter 40, Title 27 of the 1976 Code is amended by adding: </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01D95">
        <w:rPr>
          <w:color w:val="000000" w:themeColor="text1"/>
          <w:u w:color="000000" w:themeColor="text1"/>
        </w:rPr>
        <w:t>Article 11</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01D95">
        <w:rPr>
          <w:color w:val="000000" w:themeColor="text1"/>
          <w:u w:color="000000" w:themeColor="text1"/>
        </w:rPr>
        <w:t>South Carolina Housing Court</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1D95">
        <w:rPr>
          <w:color w:val="000000" w:themeColor="text1"/>
          <w:u w:color="000000" w:themeColor="text1"/>
        </w:rPr>
        <w:t>Section 27</w:t>
      </w:r>
      <w:r w:rsidR="00F61492">
        <w:rPr>
          <w:color w:val="000000" w:themeColor="text1"/>
          <w:u w:color="000000" w:themeColor="text1"/>
        </w:rPr>
        <w:noBreakHyphen/>
      </w:r>
      <w:r w:rsidRPr="00D01D95">
        <w:rPr>
          <w:color w:val="000000" w:themeColor="text1"/>
          <w:u w:color="000000" w:themeColor="text1"/>
        </w:rPr>
        <w:t>40</w:t>
      </w:r>
      <w:r w:rsidR="00F61492">
        <w:rPr>
          <w:color w:val="000000" w:themeColor="text1"/>
          <w:u w:color="000000" w:themeColor="text1"/>
        </w:rPr>
        <w:noBreakHyphen/>
      </w:r>
      <w:r w:rsidRPr="00D01D95">
        <w:rPr>
          <w:color w:val="000000" w:themeColor="text1"/>
          <w:u w:color="000000" w:themeColor="text1"/>
        </w:rPr>
        <w:t>1000.</w:t>
      </w:r>
      <w:r>
        <w:rPr>
          <w:color w:val="000000" w:themeColor="text1"/>
          <w:u w:color="000000" w:themeColor="text1"/>
        </w:rPr>
        <w:tab/>
      </w:r>
      <w:r w:rsidRPr="00D01D95">
        <w:rPr>
          <w:color w:val="000000" w:themeColor="text1"/>
          <w:u w:color="000000" w:themeColor="text1"/>
        </w:rPr>
        <w:t>(A)</w:t>
      </w:r>
      <w:r>
        <w:rPr>
          <w:color w:val="000000" w:themeColor="text1"/>
          <w:u w:color="000000" w:themeColor="text1"/>
        </w:rPr>
        <w:tab/>
      </w:r>
      <w:r w:rsidRPr="00D01D95">
        <w:rPr>
          <w:color w:val="000000" w:themeColor="text1"/>
          <w:u w:color="000000" w:themeColor="text1"/>
        </w:rPr>
        <w:t>Each county in this State must establish a housing court within the county</w:t>
      </w:r>
      <w:r w:rsidR="00F61492" w:rsidRPr="00F61492">
        <w:rPr>
          <w:color w:val="000000" w:themeColor="text1"/>
          <w:u w:color="000000" w:themeColor="text1"/>
        </w:rPr>
        <w:t>’</w:t>
      </w:r>
      <w:r w:rsidRPr="00D01D95">
        <w:rPr>
          <w:color w:val="000000" w:themeColor="text1"/>
          <w:u w:color="000000" w:themeColor="text1"/>
        </w:rPr>
        <w:t xml:space="preserve">s existing magistrates court with primary and limited jurisdiction over a landlord or tenant as to any conduct governed by the Residential Landlord and Tenant Act. </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01D95">
        <w:rPr>
          <w:color w:val="000000" w:themeColor="text1"/>
          <w:u w:color="000000" w:themeColor="text1"/>
        </w:rPr>
        <w:t xml:space="preserve">The court must be comprised of at least one but no more than three magistrates. The governor may appoint an additional </w:t>
      </w:r>
      <w:r w:rsidRPr="00D01D95">
        <w:rPr>
          <w:color w:val="000000" w:themeColor="text1"/>
          <w:u w:color="000000" w:themeColor="text1"/>
        </w:rPr>
        <w:lastRenderedPageBreak/>
        <w:t xml:space="preserve">magistrate for a county with less than three but not more than five magistrates for the sole purpose of serving on the housing court. The appointment must be made in the manner provided for in </w:t>
      </w:r>
      <w:r w:rsidR="00DC28A5">
        <w:rPr>
          <w:color w:val="000000" w:themeColor="text1"/>
          <w:u w:color="000000" w:themeColor="text1"/>
        </w:rPr>
        <w:t>Title 22.</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D95">
        <w:rPr>
          <w:color w:val="000000" w:themeColor="text1"/>
          <w:u w:color="000000" w:themeColor="text1"/>
        </w:rPr>
        <w:tab/>
        <w:t>(C)</w:t>
      </w:r>
      <w:r>
        <w:rPr>
          <w:color w:val="000000" w:themeColor="text1"/>
          <w:u w:color="000000" w:themeColor="text1"/>
        </w:rPr>
        <w:tab/>
      </w:r>
      <w:r w:rsidRPr="00D01D95">
        <w:rPr>
          <w:color w:val="000000" w:themeColor="text1"/>
          <w:u w:color="000000" w:themeColor="text1"/>
        </w:rPr>
        <w:t>A filed claim may be transferred to the docket of the appropriate circuit court or the general magistrates court when the transfer:</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01D95">
        <w:rPr>
          <w:color w:val="000000" w:themeColor="text1"/>
          <w:u w:color="000000" w:themeColor="text1"/>
        </w:rPr>
        <w:t xml:space="preserve">would allow for an earlier hearing than the housing court; </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D95">
        <w:rPr>
          <w:color w:val="000000" w:themeColor="text1"/>
          <w:u w:color="000000" w:themeColor="text1"/>
        </w:rPr>
        <w:tab/>
      </w:r>
      <w:r w:rsidRPr="00D01D95">
        <w:rPr>
          <w:color w:val="000000" w:themeColor="text1"/>
          <w:u w:color="000000" w:themeColor="text1"/>
        </w:rPr>
        <w:tab/>
        <w:t>(2)</w:t>
      </w:r>
      <w:r>
        <w:rPr>
          <w:color w:val="000000" w:themeColor="text1"/>
          <w:u w:color="000000" w:themeColor="text1"/>
        </w:rPr>
        <w:tab/>
      </w:r>
      <w:r w:rsidRPr="00D01D95">
        <w:rPr>
          <w:color w:val="000000" w:themeColor="text1"/>
          <w:u w:color="000000" w:themeColor="text1"/>
        </w:rPr>
        <w:t>is agreed to and both parties submit written informed consent to the housing court; or</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01D95">
        <w:rPr>
          <w:color w:val="000000" w:themeColor="text1"/>
          <w:u w:color="000000" w:themeColor="text1"/>
        </w:rPr>
        <w:t>better serves the interest of justice.</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1D95">
        <w:rPr>
          <w:color w:val="000000" w:themeColor="text1"/>
          <w:u w:color="000000" w:themeColor="text1"/>
        </w:rPr>
        <w:t>Section 27</w:t>
      </w:r>
      <w:r w:rsidR="00F61492">
        <w:rPr>
          <w:color w:val="000000" w:themeColor="text1"/>
          <w:u w:color="000000" w:themeColor="text1"/>
        </w:rPr>
        <w:noBreakHyphen/>
      </w:r>
      <w:r w:rsidRPr="00D01D95">
        <w:rPr>
          <w:color w:val="000000" w:themeColor="text1"/>
          <w:u w:color="000000" w:themeColor="text1"/>
        </w:rPr>
        <w:t>40</w:t>
      </w:r>
      <w:r w:rsidR="00F61492">
        <w:rPr>
          <w:color w:val="000000" w:themeColor="text1"/>
          <w:u w:color="000000" w:themeColor="text1"/>
        </w:rPr>
        <w:noBreakHyphen/>
      </w:r>
      <w:r w:rsidRPr="00D01D95">
        <w:rPr>
          <w:color w:val="000000" w:themeColor="text1"/>
          <w:u w:color="000000" w:themeColor="text1"/>
        </w:rPr>
        <w:t>1010.</w:t>
      </w:r>
      <w:r>
        <w:rPr>
          <w:color w:val="000000" w:themeColor="text1"/>
          <w:u w:color="000000" w:themeColor="text1"/>
        </w:rPr>
        <w:tab/>
      </w:r>
      <w:r w:rsidRPr="00D01D95">
        <w:rPr>
          <w:color w:val="000000" w:themeColor="text1"/>
          <w:u w:color="000000" w:themeColor="text1"/>
        </w:rPr>
        <w:t xml:space="preserve">A tenant is entitled to legal counsel in an eviction proceeding rising from the termination or alleged noncompliance with a rental agreement with the landlord. After notice of the cause of action has been served on the tenant, the tenant must submit an affidavit stating they have retained adequate legal counsel or request that the court appoint qualified and experience counsel to act on behalf of the tenant. </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1D95">
        <w:rPr>
          <w:color w:val="000000" w:themeColor="text1"/>
          <w:u w:color="000000" w:themeColor="text1"/>
        </w:rPr>
        <w:t>Section 27</w:t>
      </w:r>
      <w:r w:rsidR="00F61492">
        <w:rPr>
          <w:color w:val="000000" w:themeColor="text1"/>
          <w:u w:color="000000" w:themeColor="text1"/>
        </w:rPr>
        <w:noBreakHyphen/>
      </w:r>
      <w:r w:rsidRPr="00D01D95">
        <w:rPr>
          <w:color w:val="000000" w:themeColor="text1"/>
          <w:u w:color="000000" w:themeColor="text1"/>
        </w:rPr>
        <w:t>40</w:t>
      </w:r>
      <w:r w:rsidR="00F61492">
        <w:rPr>
          <w:color w:val="000000" w:themeColor="text1"/>
          <w:u w:color="000000" w:themeColor="text1"/>
        </w:rPr>
        <w:noBreakHyphen/>
      </w:r>
      <w:r w:rsidRPr="00D01D95">
        <w:rPr>
          <w:color w:val="000000" w:themeColor="text1"/>
          <w:u w:color="000000" w:themeColor="text1"/>
        </w:rPr>
        <w:t>1020.</w:t>
      </w:r>
      <w:r>
        <w:rPr>
          <w:color w:val="000000" w:themeColor="text1"/>
          <w:u w:color="000000" w:themeColor="text1"/>
        </w:rPr>
        <w:tab/>
      </w:r>
      <w:r w:rsidRPr="00D01D95">
        <w:rPr>
          <w:color w:val="000000" w:themeColor="text1"/>
          <w:u w:color="000000" w:themeColor="text1"/>
        </w:rPr>
        <w:t>A decision of the housing court may be appealed to the circuit court in a manner consistent with other appeals from magistrates court</w:t>
      </w:r>
      <w:r w:rsidR="00C9624B">
        <w:rPr>
          <w:color w:val="000000" w:themeColor="text1"/>
          <w:u w:color="000000" w:themeColor="text1"/>
        </w:rPr>
        <w:t xml:space="preserve"> </w:t>
      </w:r>
      <w:r w:rsidR="00645F2F">
        <w:rPr>
          <w:color w:val="000000" w:themeColor="text1"/>
          <w:u w:color="000000" w:themeColor="text1"/>
        </w:rPr>
        <w:t xml:space="preserve">and </w:t>
      </w:r>
      <w:r w:rsidR="00C9624B">
        <w:rPr>
          <w:color w:val="000000" w:themeColor="text1"/>
          <w:u w:color="000000" w:themeColor="text1"/>
        </w:rPr>
        <w:t>the case must be heard</w:t>
      </w:r>
      <w:r w:rsidRPr="00D01D95">
        <w:rPr>
          <w:color w:val="000000" w:themeColor="text1"/>
          <w:u w:color="000000" w:themeColor="text1"/>
        </w:rPr>
        <w:t xml:space="preserve"> as soon as feasible after the appeal is docketed. </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1D95">
        <w:rPr>
          <w:color w:val="000000" w:themeColor="text1"/>
          <w:u w:color="000000" w:themeColor="text1"/>
        </w:rPr>
        <w:t>Section 27</w:t>
      </w:r>
      <w:r w:rsidR="00F61492">
        <w:rPr>
          <w:color w:val="000000" w:themeColor="text1"/>
          <w:u w:color="000000" w:themeColor="text1"/>
        </w:rPr>
        <w:noBreakHyphen/>
      </w:r>
      <w:r w:rsidRPr="00D01D95">
        <w:rPr>
          <w:color w:val="000000" w:themeColor="text1"/>
          <w:u w:color="000000" w:themeColor="text1"/>
        </w:rPr>
        <w:t>40</w:t>
      </w:r>
      <w:r w:rsidR="00F61492">
        <w:rPr>
          <w:color w:val="000000" w:themeColor="text1"/>
          <w:u w:color="000000" w:themeColor="text1"/>
        </w:rPr>
        <w:noBreakHyphen/>
      </w:r>
      <w:r w:rsidRPr="00D01D95">
        <w:rPr>
          <w:color w:val="000000" w:themeColor="text1"/>
          <w:u w:color="000000" w:themeColor="text1"/>
        </w:rPr>
        <w:t>1030.</w:t>
      </w:r>
      <w:r>
        <w:rPr>
          <w:color w:val="000000" w:themeColor="text1"/>
          <w:u w:color="000000" w:themeColor="text1"/>
        </w:rPr>
        <w:tab/>
      </w:r>
      <w:r w:rsidRPr="00D01D95">
        <w:rPr>
          <w:color w:val="000000" w:themeColor="text1"/>
          <w:u w:color="000000" w:themeColor="text1"/>
        </w:rPr>
        <w:t>The housing court retains jurisdiction relating to any conduct governed by the Residential Landlord and Tenant Act in cases where damages or attorney</w:t>
      </w:r>
      <w:r w:rsidR="00F61492" w:rsidRPr="00F61492">
        <w:rPr>
          <w:color w:val="000000" w:themeColor="text1"/>
          <w:u w:color="000000" w:themeColor="text1"/>
        </w:rPr>
        <w:t>’</w:t>
      </w:r>
      <w:r w:rsidRPr="00D01D95">
        <w:rPr>
          <w:color w:val="000000" w:themeColor="text1"/>
          <w:u w:color="000000" w:themeColor="text1"/>
        </w:rPr>
        <w:t>s fees exceed the jurisdictional limit established by Title 22.”</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D95">
        <w:rPr>
          <w:color w:val="000000" w:themeColor="text1"/>
          <w:u w:color="000000" w:themeColor="text1"/>
        </w:rPr>
        <w:t>SECTION</w:t>
      </w:r>
      <w:r>
        <w:rPr>
          <w:color w:val="000000" w:themeColor="text1"/>
          <w:u w:color="000000" w:themeColor="text1"/>
        </w:rPr>
        <w:tab/>
      </w:r>
      <w:r w:rsidRPr="00D01D95">
        <w:rPr>
          <w:color w:val="000000" w:themeColor="text1"/>
          <w:u w:color="000000" w:themeColor="text1"/>
        </w:rPr>
        <w:t>2.</w:t>
      </w:r>
      <w:r>
        <w:rPr>
          <w:color w:val="000000" w:themeColor="text1"/>
          <w:u w:color="000000" w:themeColor="text1"/>
        </w:rPr>
        <w:t>A.</w:t>
      </w:r>
      <w:r>
        <w:rPr>
          <w:color w:val="000000" w:themeColor="text1"/>
          <w:u w:color="000000" w:themeColor="text1"/>
        </w:rPr>
        <w:tab/>
      </w:r>
      <w:r w:rsidRPr="00D01D95">
        <w:rPr>
          <w:color w:val="000000" w:themeColor="text1"/>
          <w:u w:color="000000" w:themeColor="text1"/>
        </w:rPr>
        <w:t>Section 27</w:t>
      </w:r>
      <w:r w:rsidR="00F61492">
        <w:rPr>
          <w:color w:val="000000" w:themeColor="text1"/>
          <w:u w:color="000000" w:themeColor="text1"/>
        </w:rPr>
        <w:noBreakHyphen/>
      </w:r>
      <w:r w:rsidRPr="00D01D95">
        <w:rPr>
          <w:color w:val="000000" w:themeColor="text1"/>
          <w:u w:color="000000" w:themeColor="text1"/>
        </w:rPr>
        <w:t>40</w:t>
      </w:r>
      <w:r w:rsidR="00F61492">
        <w:rPr>
          <w:color w:val="000000" w:themeColor="text1"/>
          <w:u w:color="000000" w:themeColor="text1"/>
        </w:rPr>
        <w:noBreakHyphen/>
      </w:r>
      <w:r w:rsidRPr="00D01D95">
        <w:rPr>
          <w:color w:val="000000" w:themeColor="text1"/>
          <w:u w:color="000000" w:themeColor="text1"/>
        </w:rPr>
        <w:t xml:space="preserve">210 of the 1976 Code is amended by adding an appropriately numbered </w:t>
      </w:r>
      <w:r w:rsidR="00645F2F">
        <w:rPr>
          <w:color w:val="000000" w:themeColor="text1"/>
          <w:u w:color="000000" w:themeColor="text1"/>
        </w:rPr>
        <w:t>item</w:t>
      </w:r>
      <w:r w:rsidRPr="00D01D95">
        <w:rPr>
          <w:color w:val="000000" w:themeColor="text1"/>
          <w:u w:color="000000" w:themeColor="text1"/>
        </w:rPr>
        <w:t xml:space="preserve"> to read:</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D95">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00F61492" w:rsidRPr="00F61492">
        <w:rPr>
          <w:color w:val="000000" w:themeColor="text1"/>
          <w:u w:color="000000" w:themeColor="text1"/>
        </w:rPr>
        <w:t>‘</w:t>
      </w:r>
      <w:r>
        <w:rPr>
          <w:color w:val="000000" w:themeColor="text1"/>
          <w:u w:color="000000" w:themeColor="text1"/>
        </w:rPr>
        <w:t>C</w:t>
      </w:r>
      <w:r w:rsidRPr="00D01D95">
        <w:rPr>
          <w:color w:val="000000" w:themeColor="text1"/>
          <w:u w:color="000000" w:themeColor="text1"/>
        </w:rPr>
        <w:t>ourt</w:t>
      </w:r>
      <w:r w:rsidR="00F61492" w:rsidRPr="00F61492">
        <w:rPr>
          <w:color w:val="000000" w:themeColor="text1"/>
          <w:u w:color="000000" w:themeColor="text1"/>
        </w:rPr>
        <w:t>’</w:t>
      </w:r>
      <w:r w:rsidRPr="00D01D95">
        <w:rPr>
          <w:color w:val="000000" w:themeColor="text1"/>
          <w:u w:color="000000" w:themeColor="text1"/>
        </w:rPr>
        <w:t xml:space="preserve"> means the housing court of each county established pursuant to Article 11, Chapter 40, Title 27.”</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D95">
        <w:rPr>
          <w:color w:val="000000" w:themeColor="text1"/>
          <w:u w:color="000000" w:themeColor="text1"/>
        </w:rPr>
        <w:t>B.</w:t>
      </w:r>
      <w:r>
        <w:rPr>
          <w:color w:val="000000" w:themeColor="text1"/>
          <w:u w:color="000000" w:themeColor="text1"/>
        </w:rPr>
        <w:tab/>
      </w:r>
      <w:r w:rsidRPr="00D01D95">
        <w:rPr>
          <w:color w:val="000000" w:themeColor="text1"/>
          <w:u w:color="000000" w:themeColor="text1"/>
        </w:rPr>
        <w:t>Section 27</w:t>
      </w:r>
      <w:r w:rsidR="00F61492">
        <w:rPr>
          <w:color w:val="000000" w:themeColor="text1"/>
          <w:u w:color="000000" w:themeColor="text1"/>
        </w:rPr>
        <w:noBreakHyphen/>
      </w:r>
      <w:r w:rsidRPr="00D01D95">
        <w:rPr>
          <w:color w:val="000000" w:themeColor="text1"/>
          <w:u w:color="000000" w:themeColor="text1"/>
        </w:rPr>
        <w:t>40</w:t>
      </w:r>
      <w:r w:rsidR="00F61492">
        <w:rPr>
          <w:color w:val="000000" w:themeColor="text1"/>
          <w:u w:color="000000" w:themeColor="text1"/>
        </w:rPr>
        <w:noBreakHyphen/>
      </w:r>
      <w:r w:rsidRPr="00D01D95">
        <w:rPr>
          <w:color w:val="000000" w:themeColor="text1"/>
          <w:u w:color="000000" w:themeColor="text1"/>
        </w:rPr>
        <w:t xml:space="preserve">130(a) of the 1976 Code is amended to read: </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D95">
        <w:rPr>
          <w:color w:val="000000" w:themeColor="text1"/>
          <w:u w:color="000000" w:themeColor="text1"/>
        </w:rPr>
        <w:tab/>
        <w:t>“(a)</w:t>
      </w:r>
      <w:r>
        <w:rPr>
          <w:color w:val="000000" w:themeColor="text1"/>
          <w:u w:color="000000" w:themeColor="text1"/>
        </w:rPr>
        <w:tab/>
      </w:r>
      <w:r w:rsidRPr="00D01D95">
        <w:rPr>
          <w:color w:val="000000" w:themeColor="text1"/>
          <w:u w:color="000000" w:themeColor="text1"/>
        </w:rPr>
        <w:t xml:space="preserve">The </w:t>
      </w:r>
      <w:r w:rsidRPr="00D01D95">
        <w:rPr>
          <w:strike/>
          <w:color w:val="000000" w:themeColor="text1"/>
          <w:u w:color="000000" w:themeColor="text1"/>
        </w:rPr>
        <w:t>circuit courts and magistrate courts</w:t>
      </w:r>
      <w:r w:rsidRPr="00D01D95">
        <w:rPr>
          <w:color w:val="000000" w:themeColor="text1"/>
          <w:u w:color="000000" w:themeColor="text1"/>
        </w:rPr>
        <w:t xml:space="preserve"> </w:t>
      </w:r>
      <w:r w:rsidRPr="00D01D95">
        <w:rPr>
          <w:color w:val="000000" w:themeColor="text1"/>
          <w:u w:val="single" w:color="000000" w:themeColor="text1"/>
        </w:rPr>
        <w:t>housing court</w:t>
      </w:r>
      <w:r w:rsidRPr="00D01D95">
        <w:rPr>
          <w:color w:val="000000" w:themeColor="text1"/>
          <w:u w:color="000000" w:themeColor="text1"/>
        </w:rPr>
        <w:t xml:space="preserve"> of this State shall exercise </w:t>
      </w:r>
      <w:r w:rsidRPr="00D01D95">
        <w:rPr>
          <w:strike/>
          <w:color w:val="000000" w:themeColor="text1"/>
          <w:u w:color="000000" w:themeColor="text1"/>
        </w:rPr>
        <w:t>concurrent</w:t>
      </w:r>
      <w:r w:rsidRPr="00D01D95">
        <w:rPr>
          <w:color w:val="000000" w:themeColor="text1"/>
          <w:u w:color="000000" w:themeColor="text1"/>
        </w:rPr>
        <w:t xml:space="preserve"> </w:t>
      </w:r>
      <w:r w:rsidRPr="00D01D95">
        <w:rPr>
          <w:color w:val="000000" w:themeColor="text1"/>
          <w:u w:val="single" w:color="000000" w:themeColor="text1"/>
        </w:rPr>
        <w:t>primary</w:t>
      </w:r>
      <w:r w:rsidRPr="00D01D95">
        <w:rPr>
          <w:color w:val="000000" w:themeColor="text1"/>
          <w:u w:color="000000" w:themeColor="text1"/>
        </w:rPr>
        <w:t xml:space="preserve"> jurisdiction over any landlord with respect to any conduct in this State governed by this chapter or with respect to any claim arising from a transaction subject to this chapter. </w:t>
      </w:r>
      <w:r w:rsidRPr="00D01D95">
        <w:rPr>
          <w:color w:val="000000" w:themeColor="text1"/>
          <w:u w:val="single" w:color="000000" w:themeColor="text1"/>
        </w:rPr>
        <w:t>The circuit courts and magistrate courts may exercise jurisdiction over any landlord with respect to any conduct in this State governed by this chapter or with respect to any claim arising from a transaction subject to this chapter under limited circumstances.</w:t>
      </w:r>
      <w:r w:rsidRPr="00FB5E5D">
        <w:rPr>
          <w:color w:val="000000" w:themeColor="text1"/>
          <w:u w:color="000000" w:themeColor="text1"/>
        </w:rPr>
        <w:t xml:space="preserve"> </w:t>
      </w:r>
      <w:r w:rsidRPr="00D01D95">
        <w:rPr>
          <w:color w:val="000000" w:themeColor="text1"/>
          <w:u w:color="000000" w:themeColor="text1"/>
        </w:rPr>
        <w:t xml:space="preserve"> In addition to any other method provided by rule or by statute, personal jurisdiction over a landlord may be acquired in a civil action or proceeding instituted in the court of common pleas or magistrate court by the service of process in the manner provided by this section.”</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D95">
        <w:rPr>
          <w:color w:val="000000" w:themeColor="text1"/>
          <w:u w:color="000000" w:themeColor="text1"/>
        </w:rPr>
        <w:tab/>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D95">
        <w:rPr>
          <w:color w:val="000000" w:themeColor="text1"/>
          <w:u w:color="000000" w:themeColor="text1"/>
        </w:rPr>
        <w:t>C.</w:t>
      </w:r>
      <w:r>
        <w:rPr>
          <w:color w:val="000000" w:themeColor="text1"/>
          <w:u w:color="000000" w:themeColor="text1"/>
        </w:rPr>
        <w:tab/>
      </w:r>
      <w:r w:rsidRPr="00D01D95">
        <w:rPr>
          <w:color w:val="000000" w:themeColor="text1"/>
          <w:u w:color="000000" w:themeColor="text1"/>
        </w:rPr>
        <w:t>Section 27</w:t>
      </w:r>
      <w:r w:rsidR="00F61492">
        <w:rPr>
          <w:color w:val="000000" w:themeColor="text1"/>
          <w:u w:color="000000" w:themeColor="text1"/>
        </w:rPr>
        <w:noBreakHyphen/>
      </w:r>
      <w:r w:rsidRPr="00D01D95">
        <w:rPr>
          <w:color w:val="000000" w:themeColor="text1"/>
          <w:u w:color="000000" w:themeColor="text1"/>
        </w:rPr>
        <w:t>40</w:t>
      </w:r>
      <w:r w:rsidR="00F61492">
        <w:rPr>
          <w:color w:val="000000" w:themeColor="text1"/>
          <w:u w:color="000000" w:themeColor="text1"/>
        </w:rPr>
        <w:noBreakHyphen/>
      </w:r>
      <w:r w:rsidRPr="00D01D95">
        <w:rPr>
          <w:color w:val="000000" w:themeColor="text1"/>
          <w:u w:color="000000" w:themeColor="text1"/>
        </w:rPr>
        <w:t xml:space="preserve">610(b) of the 1976 Code is amended to read: </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D95">
        <w:rPr>
          <w:color w:val="000000" w:themeColor="text1"/>
          <w:u w:color="000000" w:themeColor="text1"/>
        </w:rPr>
        <w:tab/>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D95">
        <w:rPr>
          <w:color w:val="000000" w:themeColor="text1"/>
          <w:u w:color="000000" w:themeColor="text1"/>
        </w:rPr>
        <w:tab/>
        <w:t>“(b)</w:t>
      </w:r>
      <w:r>
        <w:rPr>
          <w:color w:val="000000" w:themeColor="text1"/>
          <w:u w:color="000000" w:themeColor="text1"/>
        </w:rPr>
        <w:tab/>
      </w:r>
      <w:r w:rsidRPr="00D01D95">
        <w:rPr>
          <w:color w:val="000000" w:themeColor="text1"/>
          <w:u w:color="000000" w:themeColor="text1"/>
        </w:rPr>
        <w:t xml:space="preserve">Except as provided in this chapter, the tenant may recover actual damages and obtain injunctive relief in </w:t>
      </w:r>
      <w:r w:rsidRPr="00D01D95">
        <w:rPr>
          <w:strike/>
          <w:color w:val="000000" w:themeColor="text1"/>
          <w:u w:color="000000" w:themeColor="text1"/>
        </w:rPr>
        <w:t>a magistrate</w:t>
      </w:r>
      <w:r w:rsidR="00F61492" w:rsidRPr="00F61492">
        <w:rPr>
          <w:strike/>
          <w:color w:val="000000" w:themeColor="text1"/>
          <w:u w:color="000000" w:themeColor="text1"/>
        </w:rPr>
        <w:t>’</w:t>
      </w:r>
      <w:r w:rsidRPr="00D01D95">
        <w:rPr>
          <w:strike/>
          <w:color w:val="000000" w:themeColor="text1"/>
          <w:u w:color="000000" w:themeColor="text1"/>
        </w:rPr>
        <w:t>s or circuit</w:t>
      </w:r>
      <w:r w:rsidRPr="00D01D95">
        <w:rPr>
          <w:color w:val="000000" w:themeColor="text1"/>
          <w:u w:color="000000" w:themeColor="text1"/>
        </w:rPr>
        <w:t xml:space="preserve"> </w:t>
      </w:r>
      <w:r w:rsidRPr="00D01D95">
        <w:rPr>
          <w:color w:val="000000" w:themeColor="text1"/>
          <w:u w:val="single" w:color="000000" w:themeColor="text1"/>
        </w:rPr>
        <w:t>the housing</w:t>
      </w:r>
      <w:r w:rsidRPr="00D01D95">
        <w:rPr>
          <w:color w:val="000000" w:themeColor="text1"/>
          <w:u w:color="000000" w:themeColor="text1"/>
        </w:rPr>
        <w:t xml:space="preserve"> court, without posting bond, for any noncompliance by the landlord with the rental agreement or Section 27</w:t>
      </w:r>
      <w:r w:rsidR="00F61492">
        <w:rPr>
          <w:color w:val="000000" w:themeColor="text1"/>
          <w:u w:color="000000" w:themeColor="text1"/>
        </w:rPr>
        <w:noBreakHyphen/>
      </w:r>
      <w:r w:rsidRPr="00D01D95">
        <w:rPr>
          <w:color w:val="000000" w:themeColor="text1"/>
          <w:u w:color="000000" w:themeColor="text1"/>
        </w:rPr>
        <w:t>40</w:t>
      </w:r>
      <w:r w:rsidR="00F61492">
        <w:rPr>
          <w:color w:val="000000" w:themeColor="text1"/>
          <w:u w:color="000000" w:themeColor="text1"/>
        </w:rPr>
        <w:noBreakHyphen/>
      </w:r>
      <w:r w:rsidRPr="00D01D95">
        <w:rPr>
          <w:color w:val="000000" w:themeColor="text1"/>
          <w:u w:color="000000" w:themeColor="text1"/>
        </w:rPr>
        <w:t>440. If the landlord</w:t>
      </w:r>
      <w:r w:rsidR="00F61492" w:rsidRPr="00F61492">
        <w:rPr>
          <w:color w:val="000000" w:themeColor="text1"/>
          <w:u w:color="000000" w:themeColor="text1"/>
        </w:rPr>
        <w:t>’</w:t>
      </w:r>
      <w:r w:rsidRPr="00D01D95">
        <w:rPr>
          <w:color w:val="000000" w:themeColor="text1"/>
          <w:u w:color="000000" w:themeColor="text1"/>
        </w:rPr>
        <w:t>s noncompliance is wilful, the tenant may recover reasonable attorney</w:t>
      </w:r>
      <w:r w:rsidR="00F61492" w:rsidRPr="00F61492">
        <w:rPr>
          <w:color w:val="000000" w:themeColor="text1"/>
          <w:u w:color="000000" w:themeColor="text1"/>
        </w:rPr>
        <w:t>’</w:t>
      </w:r>
      <w:r w:rsidRPr="00D01D95">
        <w:rPr>
          <w:color w:val="000000" w:themeColor="text1"/>
          <w:u w:color="000000" w:themeColor="text1"/>
        </w:rPr>
        <w:t>s fees.”</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D95">
        <w:rPr>
          <w:color w:val="000000" w:themeColor="text1"/>
          <w:u w:color="000000" w:themeColor="text1"/>
        </w:rPr>
        <w:t>D.</w:t>
      </w:r>
      <w:r>
        <w:rPr>
          <w:color w:val="000000" w:themeColor="text1"/>
          <w:u w:color="000000" w:themeColor="text1"/>
        </w:rPr>
        <w:tab/>
        <w:t xml:space="preserve"> </w:t>
      </w:r>
      <w:r w:rsidRPr="00D01D95">
        <w:rPr>
          <w:color w:val="000000" w:themeColor="text1"/>
          <w:u w:color="000000" w:themeColor="text1"/>
        </w:rPr>
        <w:t>Section 27</w:t>
      </w:r>
      <w:r w:rsidR="00F61492">
        <w:rPr>
          <w:color w:val="000000" w:themeColor="text1"/>
          <w:u w:color="000000" w:themeColor="text1"/>
        </w:rPr>
        <w:noBreakHyphen/>
      </w:r>
      <w:r w:rsidRPr="00D01D95">
        <w:rPr>
          <w:color w:val="000000" w:themeColor="text1"/>
          <w:u w:color="000000" w:themeColor="text1"/>
        </w:rPr>
        <w:t>40</w:t>
      </w:r>
      <w:r w:rsidR="00F61492">
        <w:rPr>
          <w:color w:val="000000" w:themeColor="text1"/>
          <w:u w:color="000000" w:themeColor="text1"/>
        </w:rPr>
        <w:noBreakHyphen/>
      </w:r>
      <w:r w:rsidRPr="00D01D95">
        <w:rPr>
          <w:color w:val="000000" w:themeColor="text1"/>
          <w:u w:color="000000" w:themeColor="text1"/>
        </w:rPr>
        <w:t xml:space="preserve">710(C) of the 1976 Code is amended to read: </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D95">
        <w:rPr>
          <w:color w:val="000000" w:themeColor="text1"/>
          <w:u w:color="000000" w:themeColor="text1"/>
        </w:rPr>
        <w:tab/>
        <w:t>“(C)</w:t>
      </w:r>
      <w:r>
        <w:rPr>
          <w:color w:val="000000" w:themeColor="text1"/>
          <w:u w:color="000000" w:themeColor="text1"/>
        </w:rPr>
        <w:tab/>
      </w:r>
      <w:r w:rsidRPr="00D01D95">
        <w:rPr>
          <w:color w:val="000000" w:themeColor="text1"/>
          <w:u w:color="000000" w:themeColor="text1"/>
        </w:rPr>
        <w:t xml:space="preserve">Except as provided in this chapter, the landlord may recover actual damages and obtain injunctive relief, judgments, or evictions in </w:t>
      </w:r>
      <w:r w:rsidRPr="00D01D95">
        <w:rPr>
          <w:strike/>
          <w:color w:val="000000" w:themeColor="text1"/>
          <w:u w:color="000000" w:themeColor="text1"/>
        </w:rPr>
        <w:t>magistrate</w:t>
      </w:r>
      <w:r w:rsidR="00F61492" w:rsidRPr="00F61492">
        <w:rPr>
          <w:strike/>
          <w:color w:val="000000" w:themeColor="text1"/>
          <w:u w:color="000000" w:themeColor="text1"/>
        </w:rPr>
        <w:t>’</w:t>
      </w:r>
      <w:r w:rsidRPr="00D01D95">
        <w:rPr>
          <w:strike/>
          <w:color w:val="000000" w:themeColor="text1"/>
          <w:u w:color="000000" w:themeColor="text1"/>
        </w:rPr>
        <w:t>s or circuit</w:t>
      </w:r>
      <w:r w:rsidRPr="00D01D95">
        <w:rPr>
          <w:color w:val="000000" w:themeColor="text1"/>
          <w:u w:color="000000" w:themeColor="text1"/>
        </w:rPr>
        <w:t xml:space="preserve"> </w:t>
      </w:r>
      <w:r w:rsidRPr="00D01D95">
        <w:rPr>
          <w:color w:val="000000" w:themeColor="text1"/>
          <w:u w:val="single" w:color="000000" w:themeColor="text1"/>
        </w:rPr>
        <w:t>the housing</w:t>
      </w:r>
      <w:r w:rsidRPr="00D01D95">
        <w:rPr>
          <w:color w:val="000000" w:themeColor="text1"/>
          <w:u w:color="000000" w:themeColor="text1"/>
        </w:rPr>
        <w:t xml:space="preserve"> court without posting bond for any noncompliance by the tenant with the rental agreement or Section 27</w:t>
      </w:r>
      <w:r w:rsidR="00F61492">
        <w:rPr>
          <w:color w:val="000000" w:themeColor="text1"/>
          <w:u w:color="000000" w:themeColor="text1"/>
        </w:rPr>
        <w:noBreakHyphen/>
      </w:r>
      <w:r w:rsidRPr="00D01D95">
        <w:rPr>
          <w:color w:val="000000" w:themeColor="text1"/>
          <w:u w:color="000000" w:themeColor="text1"/>
        </w:rPr>
        <w:t>40</w:t>
      </w:r>
      <w:r w:rsidR="00F61492">
        <w:rPr>
          <w:color w:val="000000" w:themeColor="text1"/>
          <w:u w:color="000000" w:themeColor="text1"/>
        </w:rPr>
        <w:noBreakHyphen/>
      </w:r>
      <w:r w:rsidRPr="00D01D95">
        <w:rPr>
          <w:color w:val="000000" w:themeColor="text1"/>
          <w:u w:color="000000" w:themeColor="text1"/>
        </w:rPr>
        <w:t>510. A real estate broker</w:t>
      </w:r>
      <w:r w:rsidR="00F61492">
        <w:rPr>
          <w:color w:val="000000" w:themeColor="text1"/>
          <w:u w:color="000000" w:themeColor="text1"/>
        </w:rPr>
        <w:noBreakHyphen/>
      </w:r>
      <w:r w:rsidRPr="00D01D95">
        <w:rPr>
          <w:color w:val="000000" w:themeColor="text1"/>
          <w:u w:color="000000" w:themeColor="text1"/>
        </w:rPr>
        <w:t>in</w:t>
      </w:r>
      <w:r w:rsidR="00F61492">
        <w:rPr>
          <w:color w:val="000000" w:themeColor="text1"/>
          <w:u w:color="000000" w:themeColor="text1"/>
        </w:rPr>
        <w:noBreakHyphen/>
      </w:r>
      <w:r w:rsidRPr="00D01D95">
        <w:rPr>
          <w:color w:val="000000" w:themeColor="text1"/>
          <w:u w:color="000000" w:themeColor="text1"/>
        </w:rPr>
        <w:t>charge licensed in this State or a licensed property manager, in the conduct of his licensed business may, either in person or through one or more regular employees, complete a form writ of eviction and present facts to judicial officers on behalf of his landlord/principal in support of an action for eviction and/or distress and/or abandonment for which no separate charge is made for this service. If the tenant</w:t>
      </w:r>
      <w:r w:rsidR="00F61492" w:rsidRPr="00F61492">
        <w:rPr>
          <w:color w:val="000000" w:themeColor="text1"/>
          <w:u w:color="000000" w:themeColor="text1"/>
        </w:rPr>
        <w:t>’</w:t>
      </w:r>
      <w:r w:rsidRPr="00D01D95">
        <w:rPr>
          <w:color w:val="000000" w:themeColor="text1"/>
          <w:u w:color="000000" w:themeColor="text1"/>
        </w:rPr>
        <w:t>s noncompliance is wilful other than nonpayment of rent, the landlord may recover reasonable attorney</w:t>
      </w:r>
      <w:r w:rsidR="00F61492" w:rsidRPr="00F61492">
        <w:rPr>
          <w:color w:val="000000" w:themeColor="text1"/>
          <w:u w:color="000000" w:themeColor="text1"/>
        </w:rPr>
        <w:t>’</w:t>
      </w:r>
      <w:r w:rsidRPr="00D01D95">
        <w:rPr>
          <w:color w:val="000000" w:themeColor="text1"/>
          <w:u w:color="000000" w:themeColor="text1"/>
        </w:rPr>
        <w:t>s fees, provided the landlord is represented by an attorney. If the tenant</w:t>
      </w:r>
      <w:r w:rsidR="00F61492" w:rsidRPr="00F61492">
        <w:rPr>
          <w:color w:val="000000" w:themeColor="text1"/>
          <w:u w:color="000000" w:themeColor="text1"/>
        </w:rPr>
        <w:t>’</w:t>
      </w:r>
      <w:r w:rsidRPr="00D01D95">
        <w:rPr>
          <w:color w:val="000000" w:themeColor="text1"/>
          <w:u w:color="000000" w:themeColor="text1"/>
        </w:rPr>
        <w:t>s nonpayment of rent is not in good faith, the landlord is entitled to reasonable attorney</w:t>
      </w:r>
      <w:r w:rsidR="00F61492" w:rsidRPr="00F61492">
        <w:rPr>
          <w:color w:val="000000" w:themeColor="text1"/>
          <w:u w:color="000000" w:themeColor="text1"/>
        </w:rPr>
        <w:t>’</w:t>
      </w:r>
      <w:r w:rsidRPr="00D01D95">
        <w:rPr>
          <w:color w:val="000000" w:themeColor="text1"/>
          <w:u w:color="000000" w:themeColor="text1"/>
        </w:rPr>
        <w:t>s fees, provided the landlord is represented by an attorney.”</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D95">
        <w:rPr>
          <w:color w:val="000000" w:themeColor="text1"/>
          <w:u w:color="000000" w:themeColor="text1"/>
        </w:rPr>
        <w:t>E.</w:t>
      </w:r>
      <w:r>
        <w:rPr>
          <w:color w:val="000000" w:themeColor="text1"/>
          <w:u w:color="000000" w:themeColor="text1"/>
        </w:rPr>
        <w:tab/>
        <w:t xml:space="preserve"> </w:t>
      </w:r>
      <w:r w:rsidRPr="00D01D95">
        <w:rPr>
          <w:color w:val="000000" w:themeColor="text1"/>
          <w:u w:color="000000" w:themeColor="text1"/>
        </w:rPr>
        <w:t>Section 27</w:t>
      </w:r>
      <w:r w:rsidR="00F61492">
        <w:rPr>
          <w:color w:val="000000" w:themeColor="text1"/>
          <w:u w:color="000000" w:themeColor="text1"/>
        </w:rPr>
        <w:noBreakHyphen/>
      </w:r>
      <w:r w:rsidRPr="00D01D95">
        <w:rPr>
          <w:color w:val="000000" w:themeColor="text1"/>
          <w:u w:color="000000" w:themeColor="text1"/>
        </w:rPr>
        <w:t>40</w:t>
      </w:r>
      <w:r w:rsidR="00F61492">
        <w:rPr>
          <w:color w:val="000000" w:themeColor="text1"/>
          <w:u w:color="000000" w:themeColor="text1"/>
        </w:rPr>
        <w:noBreakHyphen/>
      </w:r>
      <w:r w:rsidRPr="00D01D95">
        <w:rPr>
          <w:color w:val="000000" w:themeColor="text1"/>
          <w:u w:color="000000" w:themeColor="text1"/>
        </w:rPr>
        <w:t xml:space="preserve">780 of the 1976 Code is amended to read: </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D95">
        <w:rPr>
          <w:color w:val="000000" w:themeColor="text1"/>
          <w:u w:color="000000" w:themeColor="text1"/>
        </w:rPr>
        <w:tab/>
        <w:t>“Section 27</w:t>
      </w:r>
      <w:r w:rsidR="00F61492">
        <w:rPr>
          <w:color w:val="000000" w:themeColor="text1"/>
          <w:u w:color="000000" w:themeColor="text1"/>
        </w:rPr>
        <w:noBreakHyphen/>
      </w:r>
      <w:r w:rsidRPr="00D01D95">
        <w:rPr>
          <w:color w:val="000000" w:themeColor="text1"/>
          <w:u w:color="000000" w:themeColor="text1"/>
        </w:rPr>
        <w:t>40</w:t>
      </w:r>
      <w:r w:rsidR="00F61492">
        <w:rPr>
          <w:color w:val="000000" w:themeColor="text1"/>
          <w:u w:color="000000" w:themeColor="text1"/>
        </w:rPr>
        <w:noBreakHyphen/>
      </w:r>
      <w:r>
        <w:rPr>
          <w:color w:val="000000" w:themeColor="text1"/>
          <w:u w:color="000000" w:themeColor="text1"/>
        </w:rPr>
        <w:t>780.</w:t>
      </w:r>
      <w:r>
        <w:rPr>
          <w:color w:val="000000" w:themeColor="text1"/>
          <w:u w:color="000000" w:themeColor="text1"/>
        </w:rPr>
        <w:tab/>
      </w:r>
      <w:r w:rsidRPr="00D01D95">
        <w:rPr>
          <w:color w:val="000000" w:themeColor="text1"/>
          <w:u w:color="000000" w:themeColor="text1"/>
        </w:rPr>
        <w:t>(a)</w:t>
      </w:r>
      <w:r>
        <w:rPr>
          <w:color w:val="000000" w:themeColor="text1"/>
          <w:u w:color="000000" w:themeColor="text1"/>
        </w:rPr>
        <w:tab/>
      </w:r>
      <w:r w:rsidRPr="00D01D95">
        <w:rPr>
          <w:color w:val="000000" w:themeColor="text1"/>
          <w:u w:color="000000" w:themeColor="text1"/>
        </w:rPr>
        <w:t xml:space="preserve">If the tenant refuses to allow lawful access, the landlord may obtain injunctive relief in </w:t>
      </w:r>
      <w:r w:rsidRPr="00D01D95">
        <w:rPr>
          <w:strike/>
          <w:color w:val="000000" w:themeColor="text1"/>
          <w:u w:color="000000" w:themeColor="text1"/>
        </w:rPr>
        <w:t>magistrates</w:t>
      </w:r>
      <w:r w:rsidR="00F61492" w:rsidRPr="00F61492">
        <w:rPr>
          <w:strike/>
          <w:color w:val="000000" w:themeColor="text1"/>
          <w:u w:color="000000" w:themeColor="text1"/>
        </w:rPr>
        <w:t>’</w:t>
      </w:r>
      <w:r w:rsidRPr="00D01D95">
        <w:rPr>
          <w:strike/>
          <w:color w:val="000000" w:themeColor="text1"/>
          <w:u w:color="000000" w:themeColor="text1"/>
        </w:rPr>
        <w:t xml:space="preserve"> or circuit</w:t>
      </w:r>
      <w:r w:rsidRPr="00D01D95">
        <w:rPr>
          <w:color w:val="000000" w:themeColor="text1"/>
          <w:u w:color="000000" w:themeColor="text1"/>
        </w:rPr>
        <w:t xml:space="preserve"> </w:t>
      </w:r>
      <w:r w:rsidRPr="00D01D95">
        <w:rPr>
          <w:color w:val="000000" w:themeColor="text1"/>
          <w:u w:val="single" w:color="000000" w:themeColor="text1"/>
        </w:rPr>
        <w:t>the housing</w:t>
      </w:r>
      <w:r w:rsidRPr="00D01D95">
        <w:rPr>
          <w:color w:val="000000" w:themeColor="text1"/>
          <w:u w:color="000000" w:themeColor="text1"/>
        </w:rPr>
        <w:t xml:space="preserve"> court without posting bond to compel access, or terminate the rental agreement. In either case the landlord may recover actual damages and reasonable attorney</w:t>
      </w:r>
      <w:r w:rsidR="00F61492" w:rsidRPr="00F61492">
        <w:rPr>
          <w:color w:val="000000" w:themeColor="text1"/>
          <w:u w:color="000000" w:themeColor="text1"/>
        </w:rPr>
        <w:t>’</w:t>
      </w:r>
      <w:r w:rsidRPr="00D01D95">
        <w:rPr>
          <w:color w:val="000000" w:themeColor="text1"/>
          <w:u w:color="000000" w:themeColor="text1"/>
        </w:rPr>
        <w:t>s fees.</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D95">
        <w:rPr>
          <w:color w:val="000000" w:themeColor="text1"/>
          <w:u w:color="000000" w:themeColor="text1"/>
        </w:rPr>
        <w:tab/>
        <w:t>(b)</w:t>
      </w:r>
      <w:r>
        <w:rPr>
          <w:color w:val="000000" w:themeColor="text1"/>
          <w:u w:color="000000" w:themeColor="text1"/>
        </w:rPr>
        <w:tab/>
      </w:r>
      <w:r w:rsidRPr="00D01D95">
        <w:rPr>
          <w:color w:val="000000" w:themeColor="text1"/>
          <w:u w:color="000000" w:themeColor="text1"/>
        </w:rPr>
        <w:t xml:space="preserve">If the landlord knowingly makes an unlawful entry or repeated lawful entry in an unreasonable manner or makes repeated demands for entry otherwise lawful but which have the effect of unreasonably harassing the tenant, the tenant may obtain injunctive relief in </w:t>
      </w:r>
      <w:r w:rsidRPr="00D01D95">
        <w:rPr>
          <w:strike/>
          <w:color w:val="000000" w:themeColor="text1"/>
          <w:u w:color="000000" w:themeColor="text1"/>
        </w:rPr>
        <w:t>magistrates</w:t>
      </w:r>
      <w:r w:rsidR="00F61492" w:rsidRPr="00F61492">
        <w:rPr>
          <w:strike/>
          <w:color w:val="000000" w:themeColor="text1"/>
          <w:u w:color="000000" w:themeColor="text1"/>
        </w:rPr>
        <w:t>’</w:t>
      </w:r>
      <w:r w:rsidRPr="00D01D95">
        <w:rPr>
          <w:strike/>
          <w:color w:val="000000" w:themeColor="text1"/>
          <w:u w:color="000000" w:themeColor="text1"/>
        </w:rPr>
        <w:t xml:space="preserve"> or circuit</w:t>
      </w:r>
      <w:r w:rsidRPr="00D01D95">
        <w:rPr>
          <w:color w:val="000000" w:themeColor="text1"/>
          <w:u w:color="000000" w:themeColor="text1"/>
        </w:rPr>
        <w:t xml:space="preserve"> </w:t>
      </w:r>
      <w:r w:rsidRPr="00D01D95">
        <w:rPr>
          <w:color w:val="000000" w:themeColor="text1"/>
          <w:u w:val="single" w:color="000000" w:themeColor="text1"/>
        </w:rPr>
        <w:t>the housing</w:t>
      </w:r>
      <w:r w:rsidRPr="00D01D95">
        <w:rPr>
          <w:color w:val="000000" w:themeColor="text1"/>
          <w:u w:color="000000" w:themeColor="text1"/>
        </w:rPr>
        <w:t xml:space="preserve"> court without posting bond to prevent the recurrence of the conduct or terminate the rental agreement. In either case the tenant may recover actual damages and reasonable attorney</w:t>
      </w:r>
      <w:r w:rsidR="00F61492" w:rsidRPr="00F61492">
        <w:rPr>
          <w:color w:val="000000" w:themeColor="text1"/>
          <w:u w:color="000000" w:themeColor="text1"/>
        </w:rPr>
        <w:t>’</w:t>
      </w:r>
      <w:r w:rsidRPr="00D01D95">
        <w:rPr>
          <w:color w:val="000000" w:themeColor="text1"/>
          <w:u w:color="000000" w:themeColor="text1"/>
        </w:rPr>
        <w:t>s fees.”</w:t>
      </w:r>
    </w:p>
    <w:p w:rsidR="00FB5E5D" w:rsidRPr="00D01D95"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D95">
        <w:rPr>
          <w:color w:val="000000" w:themeColor="text1"/>
          <w:u w:color="000000" w:themeColor="text1"/>
        </w:rPr>
        <w:t xml:space="preserve"> </w:t>
      </w:r>
    </w:p>
    <w:p w:rsidR="0094783A" w:rsidRDefault="00FB5E5D" w:rsidP="00FB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01D95">
        <w:rPr>
          <w:color w:val="000000" w:themeColor="text1"/>
          <w:u w:color="000000" w:themeColor="text1"/>
        </w:rPr>
        <w:t>3.</w:t>
      </w:r>
      <w:r>
        <w:rPr>
          <w:color w:val="000000" w:themeColor="text1"/>
          <w:u w:color="000000" w:themeColor="text1"/>
        </w:rPr>
        <w:tab/>
      </w:r>
      <w:r w:rsidRPr="00D01D95">
        <w:rPr>
          <w:color w:val="000000" w:themeColor="text1"/>
          <w:u w:color="000000" w:themeColor="text1"/>
        </w:rPr>
        <w:t>This act takes effect on July 1, 2021.</w:t>
      </w:r>
    </w:p>
    <w:p w:rsidR="00DE57D9" w:rsidRDefault="00F61492" w:rsidP="00E0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3B4B" w:rsidRDefault="00E53B4B" w:rsidP="00E53B4B">
      <w:pPr>
        <w:suppressAutoHyphens/>
      </w:pPr>
    </w:p>
    <w:sectPr w:rsidR="00E53B4B" w:rsidSect="00E53B4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783A" w:rsidRDefault="0094783A" w:rsidP="009F0C77">
      <w:r>
        <w:separator/>
      </w:r>
    </w:p>
  </w:endnote>
  <w:endnote w:type="continuationSeparator" w:id="0">
    <w:p w:rsidR="0094783A" w:rsidRDefault="009478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6B5198-93D5-46BC-AE6B-B588297F6986}"/>
    <w:embedBold r:id="rId2" w:fontKey="{3D550B47-C604-4C73-98F5-7F8ACD4F95E9}"/>
  </w:font>
  <w:font w:name="Calibri">
    <w:panose1 w:val="020F0502020204030204"/>
    <w:charset w:val="00"/>
    <w:family w:val="swiss"/>
    <w:pitch w:val="variable"/>
    <w:sig w:usb0="E0002EFF" w:usb1="C000247B" w:usb2="00000009" w:usb3="00000000" w:csb0="000001FF" w:csb1="00000000"/>
    <w:embedRegular r:id="rId3" w:fontKey="{60176E56-0FF5-4EC9-86CF-209B477C4777}"/>
  </w:font>
  <w:font w:name="Segoe UI">
    <w:panose1 w:val="020B0502040204020203"/>
    <w:charset w:val="00"/>
    <w:family w:val="swiss"/>
    <w:pitch w:val="variable"/>
    <w:sig w:usb0="E4002EFF" w:usb1="C000E47F" w:usb2="00000009" w:usb3="00000000" w:csb0="000001FF" w:csb1="00000000"/>
    <w:embedRegular r:id="rId4" w:fontKey="{E4F97F92-9BB0-4FD8-96E1-89DE00949277}"/>
  </w:font>
  <w:font w:name="Cambria">
    <w:panose1 w:val="02040503050406030204"/>
    <w:charset w:val="00"/>
    <w:family w:val="roman"/>
    <w:pitch w:val="variable"/>
    <w:sig w:usb0="E00006FF" w:usb1="420024FF" w:usb2="02000000" w:usb3="00000000" w:csb0="0000019F" w:csb1="00000000"/>
    <w:embedRegular r:id="rId5" w:fontKey="{9E5C844C-3BC9-4659-BC6A-B854545112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B4B" w:rsidRPr="0007513F" w:rsidRDefault="00E53B4B" w:rsidP="0007513F">
    <w:pPr>
      <w:pStyle w:val="Footer"/>
      <w:tabs>
        <w:tab w:val="clear" w:pos="4680"/>
        <w:tab w:val="clear" w:pos="9360"/>
        <w:tab w:val="center" w:pos="2995"/>
      </w:tabs>
      <w:spacing w:before="120"/>
    </w:pPr>
    <w:r>
      <w:t>[3373]</w:t>
    </w:r>
    <w:r>
      <w:tab/>
    </w:r>
    <w:r>
      <w:fldChar w:fldCharType="begin"/>
    </w:r>
    <w:r>
      <w:instrText xml:space="preserve"> PAGE  \* MERGEFORMAT </w:instrText>
    </w:r>
    <w:r>
      <w:fldChar w:fldCharType="separate"/>
    </w:r>
    <w:r w:rsidR="000E4CD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783A" w:rsidRDefault="0094783A" w:rsidP="009F0C77">
      <w:r>
        <w:separator/>
      </w:r>
    </w:p>
  </w:footnote>
  <w:footnote w:type="continuationSeparator" w:id="0">
    <w:p w:rsidR="0094783A" w:rsidRDefault="009478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23CZ21"/>
    <w:docVar w:name="CoverBillType" w:val="b"/>
    <w:docVar w:name="DocPath" w:val="L:\Council\bills\AGM\19823CZ21.DOCX"/>
    <w:docVar w:name="dvBillNumber" w:val="3373"/>
    <w:docVar w:name="dvBillNumberPrefix" w:val="H. "/>
    <w:docVar w:name="dvOriginalBody" w:val="House"/>
    <w:docVar w:name="dvSteno" w:val="AGM"/>
    <w:docVar w:name="NameofBody" w:val="h"/>
    <w:docVar w:name="vGroup2" w:val="Council"/>
  </w:docVars>
  <w:rsids>
    <w:rsidRoot w:val="0094783A"/>
    <w:rsid w:val="00010546"/>
    <w:rsid w:val="00011869"/>
    <w:rsid w:val="00015CD6"/>
    <w:rsid w:val="00032FA0"/>
    <w:rsid w:val="0007513F"/>
    <w:rsid w:val="00090F49"/>
    <w:rsid w:val="000B7434"/>
    <w:rsid w:val="000E0100"/>
    <w:rsid w:val="000E1785"/>
    <w:rsid w:val="000E4CD9"/>
    <w:rsid w:val="000F40FA"/>
    <w:rsid w:val="001035F1"/>
    <w:rsid w:val="0010776B"/>
    <w:rsid w:val="00133E66"/>
    <w:rsid w:val="001435A3"/>
    <w:rsid w:val="00146ED3"/>
    <w:rsid w:val="00151044"/>
    <w:rsid w:val="00187968"/>
    <w:rsid w:val="001D08F2"/>
    <w:rsid w:val="001D3A58"/>
    <w:rsid w:val="001D525B"/>
    <w:rsid w:val="001D7F4F"/>
    <w:rsid w:val="00205238"/>
    <w:rsid w:val="002321B6"/>
    <w:rsid w:val="00232912"/>
    <w:rsid w:val="00250967"/>
    <w:rsid w:val="002543C8"/>
    <w:rsid w:val="0025541D"/>
    <w:rsid w:val="00284AAE"/>
    <w:rsid w:val="002A564F"/>
    <w:rsid w:val="002E5912"/>
    <w:rsid w:val="00301B21"/>
    <w:rsid w:val="00325348"/>
    <w:rsid w:val="0032732C"/>
    <w:rsid w:val="00336AD0"/>
    <w:rsid w:val="00363963"/>
    <w:rsid w:val="0037079A"/>
    <w:rsid w:val="00387FA2"/>
    <w:rsid w:val="003C4DAB"/>
    <w:rsid w:val="003C5641"/>
    <w:rsid w:val="003D01E8"/>
    <w:rsid w:val="003E5288"/>
    <w:rsid w:val="003F6D79"/>
    <w:rsid w:val="004042BC"/>
    <w:rsid w:val="0041760A"/>
    <w:rsid w:val="00417C01"/>
    <w:rsid w:val="004403BD"/>
    <w:rsid w:val="00461441"/>
    <w:rsid w:val="00473A8B"/>
    <w:rsid w:val="004809EE"/>
    <w:rsid w:val="004E7D54"/>
    <w:rsid w:val="005273C6"/>
    <w:rsid w:val="00530A69"/>
    <w:rsid w:val="00545593"/>
    <w:rsid w:val="00556EBF"/>
    <w:rsid w:val="00577C6C"/>
    <w:rsid w:val="005A62FE"/>
    <w:rsid w:val="005C2FE2"/>
    <w:rsid w:val="005E2BC9"/>
    <w:rsid w:val="00605102"/>
    <w:rsid w:val="006215AA"/>
    <w:rsid w:val="00645AAA"/>
    <w:rsid w:val="00645F2F"/>
    <w:rsid w:val="006913C9"/>
    <w:rsid w:val="0069470D"/>
    <w:rsid w:val="006D58AA"/>
    <w:rsid w:val="00734F00"/>
    <w:rsid w:val="00736959"/>
    <w:rsid w:val="007A70AE"/>
    <w:rsid w:val="008362E8"/>
    <w:rsid w:val="0085786E"/>
    <w:rsid w:val="008A1768"/>
    <w:rsid w:val="008A489F"/>
    <w:rsid w:val="008F0F33"/>
    <w:rsid w:val="008F4429"/>
    <w:rsid w:val="0094021A"/>
    <w:rsid w:val="0094783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9624B"/>
    <w:rsid w:val="00CC6B7B"/>
    <w:rsid w:val="00CD2089"/>
    <w:rsid w:val="00D73A67"/>
    <w:rsid w:val="00D970A9"/>
    <w:rsid w:val="00DC28A5"/>
    <w:rsid w:val="00DE57D9"/>
    <w:rsid w:val="00DF3845"/>
    <w:rsid w:val="00E07F9C"/>
    <w:rsid w:val="00E33476"/>
    <w:rsid w:val="00E41911"/>
    <w:rsid w:val="00E44B57"/>
    <w:rsid w:val="00E53B4B"/>
    <w:rsid w:val="00E92EEF"/>
    <w:rsid w:val="00EF2368"/>
    <w:rsid w:val="00F24442"/>
    <w:rsid w:val="00F50AE3"/>
    <w:rsid w:val="00F61492"/>
    <w:rsid w:val="00F655B7"/>
    <w:rsid w:val="00F656BA"/>
    <w:rsid w:val="00F67CF1"/>
    <w:rsid w:val="00F728AA"/>
    <w:rsid w:val="00F840F0"/>
    <w:rsid w:val="00FB0D0D"/>
    <w:rsid w:val="00FB43B4"/>
    <w:rsid w:val="00FB5E5D"/>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AFAD9C-60D5-49B0-832B-EFCC86298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14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492"/>
    <w:rPr>
      <w:rFonts w:ascii="Segoe UI" w:eastAsia="Times New Roman" w:hAnsi="Segoe UI" w:cs="Segoe UI"/>
      <w:sz w:val="18"/>
      <w:szCs w:val="18"/>
    </w:rPr>
  </w:style>
  <w:style w:type="character" w:styleId="Hyperlink">
    <w:name w:val="Hyperlink"/>
    <w:basedOn w:val="DefaultParagraphFont"/>
    <w:uiPriority w:val="99"/>
    <w:unhideWhenUsed/>
    <w:rsid w:val="00E53B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7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7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005E7-4CE4-414A-B372-8035B695B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1082</Words>
  <Characters>6171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3373: Subject not yet available - South Carolina Legislature Online</dc:title>
  <dc:creator>Angie Morgan</dc:creator>
  <cp:lastModifiedBy>S Wilson</cp:lastModifiedBy>
  <cp:revision>2</cp:revision>
  <cp:lastPrinted>2020-12-09T15:41:00Z</cp:lastPrinted>
  <dcterms:created xsi:type="dcterms:W3CDTF">2021-01-26T15:22:00Z</dcterms:created>
  <dcterms:modified xsi:type="dcterms:W3CDTF">2021-01-26T15:22:00Z</dcterms:modified>
</cp:coreProperties>
</file>