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69B5">
        <w:rPr>
          <w:rFonts w:eastAsia="Times New Roman" w:cs="Times New Roman"/>
          <w:b/>
          <w:szCs w:val="20"/>
        </w:rPr>
        <w:t>South Carolina General Assembly</w:t>
      </w: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69B5">
        <w:rPr>
          <w:rFonts w:eastAsia="Times New Roman" w:cs="Times New Roman"/>
          <w:szCs w:val="20"/>
        </w:rPr>
        <w:t>124th Session, 2021-2022</w:t>
      </w: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69B5" w:rsidRPr="00E069B5" w:rsidRDefault="00AD307A"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 R4, H3707</w:t>
      </w: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69B5">
        <w:rPr>
          <w:rFonts w:eastAsia="Times New Roman" w:cs="Times New Roman"/>
          <w:b/>
          <w:szCs w:val="20"/>
        </w:rPr>
        <w:t>STATUS INFORMATION</w:t>
      </w: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69B5">
        <w:rPr>
          <w:rFonts w:eastAsia="Times New Roman" w:cs="Times New Roman"/>
          <w:szCs w:val="20"/>
        </w:rPr>
        <w:t>Joint Resolution</w:t>
      </w: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69B5">
        <w:rPr>
          <w:rFonts w:eastAsia="Times New Roman" w:cs="Times New Roman"/>
          <w:szCs w:val="20"/>
        </w:rPr>
        <w:t>Sponsors: Ways and Means Committee</w:t>
      </w: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69B5">
        <w:rPr>
          <w:rFonts w:eastAsia="Times New Roman" w:cs="Times New Roman"/>
          <w:szCs w:val="20"/>
        </w:rPr>
        <w:t>Document Path: l:\council\bills\nbd\11158dg21.docx</w:t>
      </w: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6A05" w:rsidRDefault="00D46A0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26, 2021</w:t>
      </w:r>
    </w:p>
    <w:p w:rsidR="00D46A05" w:rsidRDefault="00D46A0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2021</w:t>
      </w:r>
    </w:p>
    <w:p w:rsidR="00D46A05" w:rsidRDefault="00D46A0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11, 2021</w:t>
      </w:r>
    </w:p>
    <w:p w:rsidR="00D46A05" w:rsidRDefault="00D46A0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16, 2021</w:t>
      </w:r>
    </w:p>
    <w:p w:rsidR="00D46A05" w:rsidRDefault="00D46A0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19, 2021, Signed</w:t>
      </w:r>
    </w:p>
    <w:p w:rsidR="00D46A05" w:rsidRDefault="00D46A0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69B5">
        <w:rPr>
          <w:rFonts w:eastAsia="Times New Roman" w:cs="Times New Roman"/>
          <w:szCs w:val="20"/>
        </w:rPr>
        <w:t>Summary: COVID-19</w:t>
      </w: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69B5" w:rsidRPr="00E069B5" w:rsidRDefault="00E069B5" w:rsidP="00E06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69B5" w:rsidRPr="00E069B5" w:rsidRDefault="00E069B5" w:rsidP="00E069B5">
      <w:pPr>
        <w:widowControl w:val="0"/>
        <w:tabs>
          <w:tab w:val="center" w:pos="590"/>
          <w:tab w:val="center" w:pos="1440"/>
          <w:tab w:val="left" w:pos="1872"/>
          <w:tab w:val="left" w:pos="9187"/>
        </w:tabs>
        <w:rPr>
          <w:rFonts w:eastAsia="Times New Roman" w:cs="Times New Roman"/>
          <w:szCs w:val="20"/>
        </w:rPr>
      </w:pPr>
      <w:r w:rsidRPr="00E069B5">
        <w:rPr>
          <w:rFonts w:eastAsia="Times New Roman" w:cs="Times New Roman"/>
          <w:b/>
          <w:szCs w:val="20"/>
        </w:rPr>
        <w:t>HISTORY OF LEGISLATIVE ACTIONS</w:t>
      </w:r>
    </w:p>
    <w:p w:rsidR="00E069B5" w:rsidRPr="00E069B5" w:rsidRDefault="00E069B5" w:rsidP="00E069B5">
      <w:pPr>
        <w:widowControl w:val="0"/>
        <w:tabs>
          <w:tab w:val="center" w:pos="590"/>
          <w:tab w:val="center" w:pos="1440"/>
          <w:tab w:val="left" w:pos="1872"/>
          <w:tab w:val="left" w:pos="9187"/>
        </w:tabs>
        <w:rPr>
          <w:rFonts w:eastAsia="Times New Roman" w:cs="Times New Roman"/>
          <w:szCs w:val="20"/>
        </w:rPr>
      </w:pPr>
    </w:p>
    <w:p w:rsidR="00E069B5" w:rsidRPr="00E069B5" w:rsidRDefault="00E069B5" w:rsidP="00E069B5">
      <w:pPr>
        <w:widowControl w:val="0"/>
        <w:tabs>
          <w:tab w:val="center" w:pos="590"/>
          <w:tab w:val="center" w:pos="1440"/>
          <w:tab w:val="left" w:pos="1872"/>
          <w:tab w:val="left" w:pos="9187"/>
        </w:tabs>
        <w:rPr>
          <w:rFonts w:eastAsia="Times New Roman" w:cs="Times New Roman"/>
          <w:szCs w:val="20"/>
        </w:rPr>
      </w:pPr>
      <w:r w:rsidRPr="00E069B5">
        <w:rPr>
          <w:rFonts w:eastAsia="Times New Roman" w:cs="Times New Roman"/>
          <w:szCs w:val="20"/>
          <w:u w:val="single"/>
        </w:rPr>
        <w:tab/>
        <w:t>Date</w:t>
      </w:r>
      <w:r w:rsidRPr="00E069B5">
        <w:rPr>
          <w:rFonts w:eastAsia="Times New Roman" w:cs="Times New Roman"/>
          <w:szCs w:val="20"/>
          <w:u w:val="single"/>
        </w:rPr>
        <w:tab/>
        <w:t>Body</w:t>
      </w:r>
      <w:r w:rsidRPr="00E069B5">
        <w:rPr>
          <w:rFonts w:eastAsia="Times New Roman" w:cs="Times New Roman"/>
          <w:szCs w:val="20"/>
          <w:u w:val="single"/>
        </w:rPr>
        <w:tab/>
        <w:t>Action Description with journal page number</w:t>
      </w:r>
      <w:r w:rsidRPr="00E069B5">
        <w:rPr>
          <w:rFonts w:eastAsia="Times New Roman" w:cs="Times New Roman"/>
          <w:szCs w:val="20"/>
          <w:u w:val="single"/>
        </w:rPr>
        <w:tab/>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Introduced, read first time, placed on calendar without reference (</w:t>
      </w:r>
      <w:hyperlink r:id="rId7" w:history="1">
        <w:r w:rsidRPr="009421C7">
          <w:rPr>
            <w:rStyle w:val="Hyperlink"/>
            <w:rFonts w:cs="Times New Roman"/>
          </w:rPr>
          <w:t>House Journal</w:t>
        </w:r>
        <w:r w:rsidRPr="009421C7">
          <w:rPr>
            <w:rStyle w:val="Hyperlink"/>
            <w:rFonts w:cs="Times New Roman"/>
          </w:rPr>
          <w:noBreakHyphen/>
          <w:t>page 9</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r>
      <w:r>
        <w:rPr>
          <w:rFonts w:cs="Times New Roman"/>
        </w:rPr>
        <w:tab/>
        <w:t>Scrivener's error corrected</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Amended (</w:t>
      </w:r>
      <w:hyperlink r:id="rId8" w:history="1">
        <w:r w:rsidRPr="009421C7">
          <w:rPr>
            <w:rStyle w:val="Hyperlink"/>
            <w:rFonts w:cs="Times New Roman"/>
          </w:rPr>
          <w:t>House Journal</w:t>
        </w:r>
        <w:r w:rsidRPr="009421C7">
          <w:rPr>
            <w:rStyle w:val="Hyperlink"/>
            <w:rFonts w:cs="Times New Roman"/>
          </w:rPr>
          <w:noBreakHyphen/>
          <w:t>page 42</w:t>
        </w:r>
      </w:hyperlink>
      <w:bookmarkStart w:id="0" w:name="_GoBack"/>
      <w:bookmarkEnd w:id="0"/>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Read second time (</w:t>
      </w:r>
      <w:hyperlink r:id="rId9" w:history="1">
        <w:r w:rsidRPr="009421C7">
          <w:rPr>
            <w:rStyle w:val="Hyperlink"/>
            <w:rFonts w:cs="Times New Roman"/>
          </w:rPr>
          <w:t>House Journal</w:t>
        </w:r>
        <w:r w:rsidRPr="009421C7">
          <w:rPr>
            <w:rStyle w:val="Hyperlink"/>
            <w:rFonts w:cs="Times New Roman"/>
          </w:rPr>
          <w:noBreakHyphen/>
          <w:t>page 42</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Roll call Yeas</w:t>
      </w:r>
      <w:r>
        <w:rPr>
          <w:rFonts w:cs="Times New Roman"/>
        </w:rPr>
        <w:noBreakHyphen/>
        <w:t>116  Nays</w:t>
      </w:r>
      <w:r>
        <w:rPr>
          <w:rFonts w:cs="Times New Roman"/>
        </w:rPr>
        <w:noBreakHyphen/>
        <w:t>1 (</w:t>
      </w:r>
      <w:hyperlink r:id="rId10" w:history="1">
        <w:r w:rsidRPr="009421C7">
          <w:rPr>
            <w:rStyle w:val="Hyperlink"/>
            <w:rFonts w:cs="Times New Roman"/>
          </w:rPr>
          <w:t>House Journal</w:t>
        </w:r>
        <w:r w:rsidRPr="009421C7">
          <w:rPr>
            <w:rStyle w:val="Hyperlink"/>
            <w:rFonts w:cs="Times New Roman"/>
          </w:rPr>
          <w:noBreakHyphen/>
          <w:t>page 42</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r>
      <w:r>
        <w:rPr>
          <w:rFonts w:cs="Times New Roman"/>
        </w:rPr>
        <w:tab/>
        <w:t>Scrivener's error corrected</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Read third time and sent to Senate</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Introduced and read first time (</w:t>
      </w:r>
      <w:hyperlink r:id="rId11" w:history="1">
        <w:r w:rsidRPr="009421C7">
          <w:rPr>
            <w:rStyle w:val="Hyperlink"/>
            <w:rFonts w:cs="Times New Roman"/>
          </w:rPr>
          <w:t>Senate Journal</w:t>
        </w:r>
        <w:r w:rsidRPr="009421C7">
          <w:rPr>
            <w:rStyle w:val="Hyperlink"/>
            <w:rFonts w:cs="Times New Roman"/>
          </w:rPr>
          <w:noBreakHyphen/>
          <w:t>page 8</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 xml:space="preserve">Referred to Committee on </w:t>
      </w:r>
      <w:r w:rsidRPr="009421C7">
        <w:rPr>
          <w:rFonts w:cs="Times New Roman"/>
          <w:b/>
        </w:rPr>
        <w:t>Finance</w:t>
      </w:r>
      <w:r>
        <w:rPr>
          <w:rFonts w:cs="Times New Roman"/>
        </w:rPr>
        <w:t xml:space="preserve"> (</w:t>
      </w:r>
      <w:hyperlink r:id="rId12" w:history="1">
        <w:r w:rsidRPr="009421C7">
          <w:rPr>
            <w:rStyle w:val="Hyperlink"/>
            <w:rFonts w:cs="Times New Roman"/>
          </w:rPr>
          <w:t>Senate Journal</w:t>
        </w:r>
        <w:r w:rsidRPr="009421C7">
          <w:rPr>
            <w:rStyle w:val="Hyperlink"/>
            <w:rFonts w:cs="Times New Roman"/>
          </w:rPr>
          <w:noBreakHyphen/>
          <w:t>page 8</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Committee report: Favorable with amendment </w:t>
      </w:r>
      <w:r w:rsidRPr="009421C7">
        <w:rPr>
          <w:rFonts w:cs="Times New Roman"/>
          <w:b/>
        </w:rPr>
        <w:t>Finance</w:t>
      </w:r>
      <w:r>
        <w:rPr>
          <w:rFonts w:cs="Times New Roman"/>
        </w:rPr>
        <w:t xml:space="preserve"> (</w:t>
      </w:r>
      <w:hyperlink r:id="rId13" w:history="1">
        <w:r w:rsidRPr="009421C7">
          <w:rPr>
            <w:rStyle w:val="Hyperlink"/>
            <w:rFonts w:cs="Times New Roman"/>
          </w:rPr>
          <w:t>Senate Journal</w:t>
        </w:r>
        <w:r w:rsidRPr="009421C7">
          <w:rPr>
            <w:rStyle w:val="Hyperlink"/>
            <w:rFonts w:cs="Times New Roman"/>
          </w:rPr>
          <w:noBreakHyphen/>
          <w:t>page 44</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r>
      <w:r>
        <w:rPr>
          <w:rFonts w:cs="Times New Roman"/>
        </w:rPr>
        <w:tab/>
        <w:t>Scrivener's error corrected</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Read second time (</w:t>
      </w:r>
      <w:hyperlink r:id="rId14" w:history="1">
        <w:r w:rsidRPr="009421C7">
          <w:rPr>
            <w:rStyle w:val="Hyperlink"/>
            <w:rFonts w:cs="Times New Roman"/>
          </w:rPr>
          <w:t>Senate Journal</w:t>
        </w:r>
        <w:r w:rsidRPr="009421C7">
          <w:rPr>
            <w:rStyle w:val="Hyperlink"/>
            <w:rFonts w:cs="Times New Roman"/>
          </w:rPr>
          <w:noBreakHyphen/>
          <w:t>page 160</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Committee Amendment Adopted (</w:t>
      </w:r>
      <w:hyperlink r:id="rId15" w:history="1">
        <w:r w:rsidRPr="009421C7">
          <w:rPr>
            <w:rStyle w:val="Hyperlink"/>
            <w:rFonts w:cs="Times New Roman"/>
          </w:rPr>
          <w:t>Senate Journal</w:t>
        </w:r>
        <w:r w:rsidRPr="009421C7">
          <w:rPr>
            <w:rStyle w:val="Hyperlink"/>
            <w:rFonts w:cs="Times New Roman"/>
          </w:rPr>
          <w:noBreakHyphen/>
          <w:t>page 20</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Amended (</w:t>
      </w:r>
      <w:hyperlink r:id="rId16" w:history="1">
        <w:r w:rsidRPr="009421C7">
          <w:rPr>
            <w:rStyle w:val="Hyperlink"/>
            <w:rFonts w:cs="Times New Roman"/>
          </w:rPr>
          <w:t>Senate Journal</w:t>
        </w:r>
        <w:r w:rsidRPr="009421C7">
          <w:rPr>
            <w:rStyle w:val="Hyperlink"/>
            <w:rFonts w:cs="Times New Roman"/>
          </w:rPr>
          <w:noBreakHyphen/>
          <w:t>page 20</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r>
      <w:r>
        <w:rPr>
          <w:rFonts w:cs="Times New Roman"/>
        </w:rPr>
        <w:tab/>
        <w:t>Scrivener's error corrected</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Senate</w:t>
      </w:r>
      <w:r>
        <w:rPr>
          <w:rFonts w:cs="Times New Roman"/>
        </w:rPr>
        <w:tab/>
        <w:t>Read third time and returned to House with amendments (</w:t>
      </w:r>
      <w:hyperlink r:id="rId17" w:history="1">
        <w:r w:rsidRPr="009421C7">
          <w:rPr>
            <w:rStyle w:val="Hyperlink"/>
            <w:rFonts w:cs="Times New Roman"/>
          </w:rPr>
          <w:t>Senate Journal</w:t>
        </w:r>
        <w:r w:rsidRPr="009421C7">
          <w:rPr>
            <w:rStyle w:val="Hyperlink"/>
            <w:rFonts w:cs="Times New Roman"/>
          </w:rPr>
          <w:noBreakHyphen/>
          <w:t>page 6</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Senate</w:t>
      </w:r>
      <w:r>
        <w:rPr>
          <w:rFonts w:cs="Times New Roman"/>
        </w:rPr>
        <w:tab/>
        <w:t>Roll call Ayes</w:t>
      </w:r>
      <w:r>
        <w:rPr>
          <w:rFonts w:cs="Times New Roman"/>
        </w:rPr>
        <w:noBreakHyphen/>
        <w:t>40  Nays</w:t>
      </w:r>
      <w:r>
        <w:rPr>
          <w:rFonts w:cs="Times New Roman"/>
        </w:rPr>
        <w:noBreakHyphen/>
        <w:t>1 (</w:t>
      </w:r>
      <w:hyperlink r:id="rId18" w:history="1">
        <w:r w:rsidRPr="009421C7">
          <w:rPr>
            <w:rStyle w:val="Hyperlink"/>
            <w:rFonts w:cs="Times New Roman"/>
          </w:rPr>
          <w:t>Senate Journal</w:t>
        </w:r>
        <w:r w:rsidRPr="009421C7">
          <w:rPr>
            <w:rStyle w:val="Hyperlink"/>
            <w:rFonts w:cs="Times New Roman"/>
          </w:rPr>
          <w:noBreakHyphen/>
          <w:t>page 6</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Senate amendment amended (</w:t>
      </w:r>
      <w:hyperlink r:id="rId19" w:history="1">
        <w:r w:rsidRPr="009421C7">
          <w:rPr>
            <w:rStyle w:val="Hyperlink"/>
            <w:rFonts w:cs="Times New Roman"/>
          </w:rPr>
          <w:t>House Journal</w:t>
        </w:r>
        <w:r w:rsidRPr="009421C7">
          <w:rPr>
            <w:rStyle w:val="Hyperlink"/>
            <w:rFonts w:cs="Times New Roman"/>
          </w:rPr>
          <w:noBreakHyphen/>
          <w:t>page 10</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Debate adjourned on Senate amendments until  Tues., 2</w:t>
      </w:r>
      <w:r>
        <w:rPr>
          <w:rFonts w:cs="Times New Roman"/>
        </w:rPr>
        <w:noBreakHyphen/>
        <w:t>16</w:t>
      </w:r>
      <w:r>
        <w:rPr>
          <w:rFonts w:cs="Times New Roman"/>
        </w:rPr>
        <w:noBreakHyphen/>
        <w:t>21 (</w:t>
      </w:r>
      <w:hyperlink r:id="rId20" w:history="1">
        <w:r w:rsidRPr="009421C7">
          <w:rPr>
            <w:rStyle w:val="Hyperlink"/>
            <w:rFonts w:cs="Times New Roman"/>
          </w:rPr>
          <w:t>House Journal</w:t>
        </w:r>
        <w:r w:rsidRPr="009421C7">
          <w:rPr>
            <w:rStyle w:val="Hyperlink"/>
            <w:rFonts w:cs="Times New Roman"/>
          </w:rPr>
          <w:noBreakHyphen/>
          <w:t>page 10</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Amendment 1A Tabled (</w:t>
      </w:r>
      <w:hyperlink r:id="rId21" w:history="1">
        <w:r w:rsidRPr="009421C7">
          <w:rPr>
            <w:rStyle w:val="Hyperlink"/>
            <w:rFonts w:cs="Times New Roman"/>
          </w:rPr>
          <w:t>House Journal</w:t>
        </w:r>
        <w:r w:rsidRPr="009421C7">
          <w:rPr>
            <w:rStyle w:val="Hyperlink"/>
            <w:rFonts w:cs="Times New Roman"/>
          </w:rPr>
          <w:noBreakHyphen/>
          <w:t>page 16</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Concurred in Senate amendment and enrolled (</w:t>
      </w:r>
      <w:hyperlink r:id="rId22" w:history="1">
        <w:r w:rsidRPr="009421C7">
          <w:rPr>
            <w:rStyle w:val="Hyperlink"/>
            <w:rFonts w:cs="Times New Roman"/>
          </w:rPr>
          <w:t>House Journal</w:t>
        </w:r>
        <w:r w:rsidRPr="009421C7">
          <w:rPr>
            <w:rStyle w:val="Hyperlink"/>
            <w:rFonts w:cs="Times New Roman"/>
          </w:rPr>
          <w:noBreakHyphen/>
          <w:t>page 16</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23" w:history="1">
        <w:r w:rsidRPr="009421C7">
          <w:rPr>
            <w:rStyle w:val="Hyperlink"/>
            <w:rFonts w:cs="Times New Roman"/>
          </w:rPr>
          <w:t>House Journal</w:t>
        </w:r>
        <w:r w:rsidRPr="009421C7">
          <w:rPr>
            <w:rStyle w:val="Hyperlink"/>
            <w:rFonts w:cs="Times New Roman"/>
          </w:rPr>
          <w:noBreakHyphen/>
          <w:t>page 18</w:t>
        </w:r>
      </w:hyperlink>
      <w:r>
        <w:rPr>
          <w:rFonts w:cs="Times New Roman"/>
        </w:rPr>
        <w:t>)</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r>
      <w:r>
        <w:rPr>
          <w:rFonts w:cs="Times New Roman"/>
        </w:rPr>
        <w:tab/>
        <w:t>Ratified R  4</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2/19/2021</w:t>
      </w:r>
      <w:r>
        <w:rPr>
          <w:rFonts w:cs="Times New Roman"/>
        </w:rPr>
        <w:tab/>
      </w:r>
      <w:r>
        <w:rPr>
          <w:rFonts w:cs="Times New Roman"/>
        </w:rPr>
        <w:tab/>
        <w:t>Signed By Governor</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r>
      <w:r>
        <w:rPr>
          <w:rFonts w:cs="Times New Roman"/>
        </w:rPr>
        <w:tab/>
        <w:t>Effective date  02/19/21</w:t>
      </w:r>
    </w:p>
    <w:p w:rsidR="00AD307A" w:rsidRDefault="00AD307A" w:rsidP="00AD307A">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r>
      <w:r>
        <w:rPr>
          <w:rFonts w:cs="Times New Roman"/>
        </w:rPr>
        <w:tab/>
        <w:t>Act No.  2</w:t>
      </w:r>
    </w:p>
    <w:p w:rsidR="00AD307A" w:rsidRDefault="00AD307A" w:rsidP="00AD307A">
      <w:pPr>
        <w:widowControl w:val="0"/>
        <w:tabs>
          <w:tab w:val="right" w:pos="1008"/>
          <w:tab w:val="left" w:pos="1152"/>
          <w:tab w:val="left" w:pos="1872"/>
          <w:tab w:val="left" w:pos="9187"/>
        </w:tabs>
        <w:ind w:left="2088" w:hanging="2088"/>
        <w:rPr>
          <w:rFonts w:cs="Times New Roman"/>
        </w:rPr>
      </w:pPr>
    </w:p>
    <w:p w:rsidR="00E069B5" w:rsidRPr="00E069B5" w:rsidRDefault="00E069B5" w:rsidP="00E069B5">
      <w:pPr>
        <w:widowControl w:val="0"/>
        <w:tabs>
          <w:tab w:val="right" w:pos="1008"/>
          <w:tab w:val="left" w:pos="1152"/>
          <w:tab w:val="left" w:pos="1872"/>
          <w:tab w:val="left" w:pos="9187"/>
        </w:tabs>
        <w:ind w:left="2088" w:hanging="2088"/>
        <w:rPr>
          <w:rFonts w:eastAsia="Times New Roman" w:cs="Times New Roman"/>
          <w:szCs w:val="20"/>
        </w:rPr>
      </w:pPr>
      <w:r w:rsidRPr="00E069B5">
        <w:rPr>
          <w:rFonts w:eastAsia="Times New Roman" w:cs="Times New Roman"/>
          <w:szCs w:val="20"/>
        </w:rPr>
        <w:t xml:space="preserve">View the latest </w:t>
      </w:r>
      <w:hyperlink r:id="rId24" w:history="1">
        <w:r w:rsidRPr="00E069B5">
          <w:rPr>
            <w:rFonts w:eastAsia="Times New Roman" w:cs="Times New Roman"/>
            <w:color w:val="0000FF" w:themeColor="hyperlink"/>
            <w:szCs w:val="20"/>
            <w:u w:val="single"/>
          </w:rPr>
          <w:t>legislative information</w:t>
        </w:r>
      </w:hyperlink>
      <w:r w:rsidRPr="00E069B5">
        <w:rPr>
          <w:rFonts w:eastAsia="Times New Roman" w:cs="Times New Roman"/>
          <w:szCs w:val="20"/>
        </w:rPr>
        <w:t xml:space="preserve"> at the website</w:t>
      </w:r>
    </w:p>
    <w:p w:rsidR="00E069B5" w:rsidRPr="00E069B5" w:rsidRDefault="00E069B5" w:rsidP="00E069B5">
      <w:pPr>
        <w:widowControl w:val="0"/>
        <w:tabs>
          <w:tab w:val="right" w:pos="1008"/>
          <w:tab w:val="left" w:pos="1152"/>
          <w:tab w:val="left" w:pos="1872"/>
          <w:tab w:val="left" w:pos="9187"/>
        </w:tabs>
        <w:ind w:left="2088" w:hanging="2088"/>
        <w:rPr>
          <w:rFonts w:eastAsia="Times New Roman" w:cs="Times New Roman"/>
          <w:szCs w:val="20"/>
        </w:rPr>
      </w:pPr>
    </w:p>
    <w:p w:rsidR="00E069B5" w:rsidRPr="00E069B5" w:rsidRDefault="00E069B5" w:rsidP="00E069B5">
      <w:pPr>
        <w:widowControl w:val="0"/>
        <w:tabs>
          <w:tab w:val="right" w:pos="1008"/>
          <w:tab w:val="left" w:pos="1152"/>
          <w:tab w:val="left" w:pos="1872"/>
          <w:tab w:val="left" w:pos="9187"/>
        </w:tabs>
        <w:ind w:left="2088" w:hanging="2088"/>
        <w:rPr>
          <w:rFonts w:eastAsia="Times New Roman" w:cs="Times New Roman"/>
          <w:szCs w:val="20"/>
        </w:rPr>
      </w:pPr>
    </w:p>
    <w:p w:rsidR="00E069B5" w:rsidRPr="00E069B5" w:rsidRDefault="00E069B5"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69B5">
        <w:rPr>
          <w:rFonts w:eastAsia="Times New Roman" w:cs="Times New Roman"/>
          <w:b/>
          <w:szCs w:val="20"/>
        </w:rPr>
        <w:t>VERSIONS OF THIS BILL</w:t>
      </w:r>
    </w:p>
    <w:p w:rsidR="00E069B5" w:rsidRPr="00E069B5" w:rsidRDefault="00E069B5"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069B5" w:rsidRPr="00E069B5" w:rsidRDefault="00531536"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069B5" w:rsidRPr="00E069B5">
          <w:rPr>
            <w:rFonts w:eastAsia="Times New Roman" w:cs="Times New Roman"/>
            <w:color w:val="0000FF" w:themeColor="hyperlink"/>
            <w:szCs w:val="20"/>
            <w:u w:val="single"/>
          </w:rPr>
          <w:t>1/26/2021</w:t>
        </w:r>
      </w:hyperlink>
    </w:p>
    <w:p w:rsidR="00E069B5" w:rsidRPr="00E069B5" w:rsidRDefault="00531536"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069B5" w:rsidRPr="00E069B5">
          <w:rPr>
            <w:rFonts w:eastAsia="Times New Roman" w:cs="Times New Roman"/>
            <w:color w:val="0000FF" w:themeColor="hyperlink"/>
            <w:szCs w:val="20"/>
            <w:u w:val="single"/>
          </w:rPr>
          <w:t>1/26/2021-A</w:t>
        </w:r>
      </w:hyperlink>
    </w:p>
    <w:p w:rsidR="00E069B5" w:rsidRPr="00E069B5" w:rsidRDefault="00531536"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069B5" w:rsidRPr="00E069B5">
          <w:rPr>
            <w:rFonts w:eastAsia="Times New Roman" w:cs="Times New Roman"/>
            <w:color w:val="0000FF" w:themeColor="hyperlink"/>
            <w:szCs w:val="20"/>
            <w:u w:val="single"/>
          </w:rPr>
          <w:t>1/27/2021</w:t>
        </w:r>
      </w:hyperlink>
    </w:p>
    <w:p w:rsidR="00E069B5" w:rsidRPr="00E069B5" w:rsidRDefault="00531536"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069B5" w:rsidRPr="00E069B5">
          <w:rPr>
            <w:rFonts w:eastAsia="Times New Roman" w:cs="Times New Roman"/>
            <w:color w:val="0000FF" w:themeColor="hyperlink"/>
            <w:szCs w:val="20"/>
            <w:u w:val="single"/>
          </w:rPr>
          <w:t>1/27/2021-A</w:t>
        </w:r>
      </w:hyperlink>
    </w:p>
    <w:p w:rsidR="00E069B5" w:rsidRPr="00E069B5" w:rsidRDefault="00531536"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069B5" w:rsidRPr="00E069B5">
          <w:rPr>
            <w:rFonts w:eastAsia="Times New Roman" w:cs="Times New Roman"/>
            <w:color w:val="0000FF" w:themeColor="hyperlink"/>
            <w:szCs w:val="20"/>
            <w:u w:val="single"/>
          </w:rPr>
          <w:t>1/28/2021</w:t>
        </w:r>
      </w:hyperlink>
    </w:p>
    <w:p w:rsidR="00E069B5" w:rsidRPr="00E069B5" w:rsidRDefault="00531536"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069B5" w:rsidRPr="00E069B5">
          <w:rPr>
            <w:rFonts w:eastAsia="Times New Roman" w:cs="Times New Roman"/>
            <w:color w:val="0000FF" w:themeColor="hyperlink"/>
            <w:szCs w:val="20"/>
            <w:u w:val="single"/>
          </w:rPr>
          <w:t>2/3/2021</w:t>
        </w:r>
      </w:hyperlink>
    </w:p>
    <w:p w:rsidR="00E069B5" w:rsidRPr="00E069B5" w:rsidRDefault="00531536"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069B5" w:rsidRPr="00E069B5">
          <w:rPr>
            <w:rFonts w:eastAsia="Times New Roman" w:cs="Times New Roman"/>
            <w:color w:val="0000FF" w:themeColor="hyperlink"/>
            <w:szCs w:val="20"/>
            <w:u w:val="single"/>
          </w:rPr>
          <w:t>2/4/2021</w:t>
        </w:r>
      </w:hyperlink>
    </w:p>
    <w:p w:rsidR="00E069B5" w:rsidRPr="00E069B5" w:rsidRDefault="00531536"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069B5" w:rsidRPr="00E069B5">
          <w:rPr>
            <w:rFonts w:eastAsia="Times New Roman" w:cs="Times New Roman"/>
            <w:color w:val="0000FF" w:themeColor="hyperlink"/>
            <w:szCs w:val="20"/>
            <w:u w:val="single"/>
          </w:rPr>
          <w:t>2/9/2021</w:t>
        </w:r>
      </w:hyperlink>
    </w:p>
    <w:p w:rsidR="00E069B5" w:rsidRPr="00E069B5" w:rsidRDefault="00531536"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069B5" w:rsidRPr="00E069B5">
          <w:rPr>
            <w:rFonts w:eastAsia="Times New Roman" w:cs="Times New Roman"/>
            <w:color w:val="0000FF" w:themeColor="hyperlink"/>
            <w:szCs w:val="20"/>
            <w:u w:val="single"/>
          </w:rPr>
          <w:t>2/10/2021</w:t>
        </w:r>
      </w:hyperlink>
    </w:p>
    <w:p w:rsidR="00E069B5" w:rsidRPr="00E069B5" w:rsidRDefault="00E069B5"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069B5" w:rsidRDefault="00E069B5" w:rsidP="00E0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069B5" w:rsidSect="00E069B5">
          <w:pgSz w:w="12240" w:h="15840" w:code="1"/>
          <w:pgMar w:top="1080" w:right="1440" w:bottom="1080" w:left="1440" w:header="720" w:footer="720" w:gutter="0"/>
          <w:pgNumType w:start="1"/>
          <w:cols w:space="720"/>
          <w:noEndnote/>
          <w:docGrid w:linePitch="360"/>
        </w:sectPr>
      </w:pPr>
    </w:p>
    <w:p w:rsidR="00EA3351"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 R4, H3707)</w:t>
      </w:r>
    </w:p>
    <w:p w:rsidR="00EA3351" w:rsidRPr="008836A5"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A3351" w:rsidRPr="00E069B5"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069B5">
        <w:rPr>
          <w:rFonts w:cs="Times New Roman"/>
          <w:b/>
          <w:color w:val="000000" w:themeColor="text1"/>
          <w:szCs w:val="36"/>
        </w:rPr>
        <w:t xml:space="preserve">A JOINT RESOLUTION </w:t>
      </w:r>
      <w:r w:rsidRPr="00E069B5">
        <w:rPr>
          <w:rFonts w:cs="Times New Roman"/>
          <w:b/>
          <w:color w:val="000000" w:themeColor="text1"/>
        </w:rPr>
        <w:t>TO MAKE APPROPRIATIONS FOR THE STATE’S PUBLIC HEALTH RESPONSE TO THE COVID</w:t>
      </w:r>
      <w:r w:rsidRPr="00E069B5">
        <w:rPr>
          <w:rFonts w:cs="Times New Roman"/>
          <w:b/>
          <w:color w:val="000000" w:themeColor="text1"/>
        </w:rPr>
        <w:noBreakHyphen/>
        <w:t>19 VIRUS, INCLUDING VACCINATIONS, AND TO FURTHER PROVIDE FOR THE RESPONSE TO THE COVID</w:t>
      </w:r>
      <w:r w:rsidRPr="00E069B5">
        <w:rPr>
          <w:rFonts w:cs="Times New Roman"/>
          <w:b/>
          <w:color w:val="000000" w:themeColor="text1"/>
        </w:rPr>
        <w:noBreakHyphen/>
        <w:t>19 VIRUS.</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bookmarkStart w:id="1" w:name="titleend"/>
      <w:bookmarkEnd w:id="1"/>
    </w:p>
    <w:p w:rsidR="00EA3351" w:rsidRPr="00CE69FA" w:rsidRDefault="00EA3351" w:rsidP="00EA3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sidRPr="00CE69FA">
        <w:rPr>
          <w:color w:val="000000" w:themeColor="text1"/>
          <w:sz w:val="22"/>
          <w:u w:color="000000" w:themeColor="text1"/>
        </w:rPr>
        <w:t>Whereas, the COVID</w:t>
      </w:r>
      <w:r>
        <w:rPr>
          <w:color w:val="000000" w:themeColor="text1"/>
          <w:sz w:val="22"/>
          <w:u w:color="000000" w:themeColor="text1"/>
        </w:rPr>
        <w:noBreakHyphen/>
      </w:r>
      <w:r w:rsidRPr="00CE69FA">
        <w:rPr>
          <w:color w:val="000000" w:themeColor="text1"/>
          <w:sz w:val="22"/>
          <w:u w:color="000000" w:themeColor="text1"/>
        </w:rPr>
        <w:t>19 virus has caused untold damage on South Carolina</w:t>
      </w:r>
      <w:r>
        <w:rPr>
          <w:color w:val="000000" w:themeColor="text1"/>
          <w:sz w:val="22"/>
          <w:u w:color="000000" w:themeColor="text1"/>
        </w:rPr>
        <w:t>’</w:t>
      </w:r>
      <w:r w:rsidRPr="00CE69FA">
        <w:rPr>
          <w:color w:val="000000" w:themeColor="text1"/>
          <w:sz w:val="22"/>
          <w:u w:color="000000" w:themeColor="text1"/>
        </w:rPr>
        <w:t>s citizens and its economy, particularly in rural and underserved areas, and vaccinating South Carolinians is of the utmost importance to returning the State and its citizens to their everyday lives; and</w:t>
      </w:r>
    </w:p>
    <w:p w:rsidR="00EA3351" w:rsidRPr="00CE69FA" w:rsidRDefault="00EA3351" w:rsidP="00EA3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1"/>
          <w:u w:color="000000" w:themeColor="text1"/>
        </w:rPr>
      </w:pPr>
    </w:p>
    <w:p w:rsidR="00EA3351" w:rsidRPr="00CE69FA" w:rsidRDefault="00EA3351" w:rsidP="00EA3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2"/>
          <w:u w:color="000000" w:themeColor="text1"/>
        </w:rPr>
      </w:pPr>
      <w:r w:rsidRPr="00CE69FA">
        <w:rPr>
          <w:color w:val="000000" w:themeColor="text1"/>
          <w:sz w:val="22"/>
          <w:szCs w:val="22"/>
          <w:u w:color="000000" w:themeColor="text1"/>
        </w:rPr>
        <w:t>Whereas, there are now multiple versions of a highly effective vaccine available to combat COVID</w:t>
      </w:r>
      <w:r>
        <w:rPr>
          <w:color w:val="000000" w:themeColor="text1"/>
          <w:sz w:val="22"/>
          <w:szCs w:val="22"/>
          <w:u w:color="000000" w:themeColor="text1"/>
        </w:rPr>
        <w:noBreakHyphen/>
      </w:r>
      <w:r w:rsidRPr="00CE69FA">
        <w:rPr>
          <w:color w:val="000000" w:themeColor="text1"/>
          <w:sz w:val="22"/>
          <w:szCs w:val="22"/>
          <w:u w:color="000000" w:themeColor="text1"/>
        </w:rPr>
        <w:t>19; and</w:t>
      </w:r>
    </w:p>
    <w:p w:rsidR="00EA3351" w:rsidRPr="00CE69FA" w:rsidRDefault="00EA3351" w:rsidP="00EA3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1"/>
          <w:u w:color="000000" w:themeColor="text1"/>
        </w:rPr>
      </w:pPr>
    </w:p>
    <w:p w:rsidR="00EA3351" w:rsidRPr="00CE69FA" w:rsidRDefault="00EA3351" w:rsidP="00EA335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sz w:val="22"/>
          <w:szCs w:val="21"/>
          <w:u w:color="000000" w:themeColor="text1"/>
        </w:rPr>
      </w:pPr>
      <w:r w:rsidRPr="00CE69FA">
        <w:rPr>
          <w:color w:val="000000" w:themeColor="text1"/>
          <w:sz w:val="22"/>
          <w:szCs w:val="22"/>
          <w:u w:color="000000" w:themeColor="text1"/>
        </w:rPr>
        <w:t>Whereas, the State must endeavor to assist with the development and success of the vaccine delivery infrastructure that will help South Carolina make full use of its federal allocation of vaccines and maximize the number of inoculations delivered. Now, therefore,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E69FA">
        <w:rPr>
          <w:rFonts w:cs="Times New Roman"/>
          <w:color w:val="000000" w:themeColor="text1"/>
        </w:rPr>
        <w:t>Be it enacted by the General Assembly of the State of South Carolina:</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SECTION</w:t>
      </w:r>
      <w:r w:rsidRPr="00CE69FA">
        <w:rPr>
          <w:rFonts w:cs="Times New Roman"/>
          <w:color w:val="000000" w:themeColor="text1"/>
          <w:u w:color="000000" w:themeColor="text1"/>
        </w:rPr>
        <w:tab/>
        <w:t>1.</w:t>
      </w:r>
      <w:r w:rsidRPr="00CE69FA">
        <w:rPr>
          <w:rFonts w:cs="Times New Roman"/>
          <w:color w:val="000000" w:themeColor="text1"/>
          <w:u w:color="000000" w:themeColor="text1"/>
        </w:rPr>
        <w:tab/>
        <w:t>(A)</w:t>
      </w:r>
      <w:r w:rsidRPr="00CE69FA">
        <w:rPr>
          <w:rFonts w:cs="Times New Roman"/>
          <w:color w:val="000000" w:themeColor="text1"/>
          <w:u w:color="000000" w:themeColor="text1"/>
        </w:rPr>
        <w:tab/>
        <w:t>From the Contingency Reserve Fund, there is appropriated:</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t>(1)</w:t>
      </w:r>
      <w:r w:rsidRPr="00CE69FA">
        <w:rPr>
          <w:rFonts w:cs="Times New Roman"/>
          <w:color w:val="000000" w:themeColor="text1"/>
          <w:u w:color="000000" w:themeColor="text1"/>
        </w:rPr>
        <w:tab/>
        <w:t>$63,000,000 to the Department of Health and Environmental Control (DHEC); and</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t>(2)</w:t>
      </w:r>
      <w:r w:rsidRPr="00CE69FA">
        <w:rPr>
          <w:rFonts w:cs="Times New Roman"/>
          <w:color w:val="000000" w:themeColor="text1"/>
          <w:u w:color="000000" w:themeColor="text1"/>
        </w:rPr>
        <w:tab/>
        <w:t>$45,000,000 to the Medical University of South Carolina (MUSC).</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t>(B)</w:t>
      </w:r>
      <w:r w:rsidRPr="00CE69FA">
        <w:rPr>
          <w:rFonts w:cs="Times New Roman"/>
          <w:color w:val="000000" w:themeColor="text1"/>
          <w:u w:color="000000" w:themeColor="text1"/>
        </w:rPr>
        <w:tab/>
        <w:t>From the funds appropriated in this section, DHEC and MUSC shall, in consultation, cooperation, and collaboration with the South Carolina Hospital Association, the South Carolina Primary Care Association and any other Federally Qualified Health Centers, and other appropriate entities and associations: (1) expand statewide vaccination capacity; and (2) continue to administer the statewide COVID</w:t>
      </w:r>
      <w:r>
        <w:rPr>
          <w:rFonts w:cs="Times New Roman"/>
          <w:color w:val="000000" w:themeColor="text1"/>
          <w:u w:color="000000" w:themeColor="text1"/>
        </w:rPr>
        <w:noBreakHyphen/>
      </w:r>
      <w:r w:rsidRPr="00CE69FA">
        <w:rPr>
          <w:rFonts w:cs="Times New Roman"/>
          <w:color w:val="000000" w:themeColor="text1"/>
          <w:u w:color="000000" w:themeColor="text1"/>
        </w:rPr>
        <w:t>19 testing plan.  Such funds must be used in a manner that most effectively and efficiently uses the resources available for vaccinations from hospitals and other COVID</w:t>
      </w:r>
      <w:r>
        <w:rPr>
          <w:rFonts w:cs="Times New Roman"/>
          <w:color w:val="000000" w:themeColor="text1"/>
          <w:u w:color="000000" w:themeColor="text1"/>
        </w:rPr>
        <w:noBreakHyphen/>
      </w:r>
      <w:r w:rsidRPr="00CE69FA">
        <w:rPr>
          <w:rFonts w:cs="Times New Roman"/>
          <w:color w:val="000000" w:themeColor="text1"/>
          <w:u w:color="000000" w:themeColor="text1"/>
        </w:rPr>
        <w:t>19 vaccination providers, enrolled and activated by DHEC, across the State.  The use of these funds includes costs related to COVID</w:t>
      </w:r>
      <w:r>
        <w:rPr>
          <w:rFonts w:cs="Times New Roman"/>
          <w:color w:val="000000" w:themeColor="text1"/>
          <w:u w:color="000000" w:themeColor="text1"/>
        </w:rPr>
        <w:noBreakHyphen/>
      </w:r>
      <w:r w:rsidRPr="00CE69FA">
        <w:rPr>
          <w:rFonts w:cs="Times New Roman"/>
          <w:color w:val="000000" w:themeColor="text1"/>
          <w:u w:color="000000" w:themeColor="text1"/>
        </w:rPr>
        <w:t xml:space="preserve">19, but are not limited to, vaccination, continued testing and contact tracing, personal protective equipment and medical supplies, personnel costs, education and marketing campaigns, quarantine, </w:t>
      </w:r>
      <w:r w:rsidRPr="00CE69FA">
        <w:rPr>
          <w:rFonts w:cs="Times New Roman"/>
          <w:color w:val="000000" w:themeColor="text1"/>
          <w:u w:color="000000" w:themeColor="text1"/>
        </w:rPr>
        <w:lastRenderedPageBreak/>
        <w:t>transportation and storage, mobile health units including the purchase, upfitting, staffing, and operations thereof, general operations, technology, and staff support.</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t>(C)</w:t>
      </w:r>
      <w:r w:rsidRPr="00CE69FA">
        <w:rPr>
          <w:rFonts w:cs="Times New Roman"/>
          <w:color w:val="000000" w:themeColor="text1"/>
          <w:u w:color="000000" w:themeColor="text1"/>
        </w:rPr>
        <w:tab/>
        <w:t>The funds expended for statewide vaccinations must be used expeditiously to contract with entities set forth in this item that are administering COVID</w:t>
      </w:r>
      <w:r>
        <w:rPr>
          <w:rFonts w:cs="Times New Roman"/>
          <w:color w:val="000000" w:themeColor="text1"/>
          <w:u w:color="000000" w:themeColor="text1"/>
        </w:rPr>
        <w:noBreakHyphen/>
      </w:r>
      <w:r w:rsidRPr="00CE69FA">
        <w:rPr>
          <w:rFonts w:cs="Times New Roman"/>
          <w:color w:val="000000" w:themeColor="text1"/>
          <w:u w:color="000000" w:themeColor="text1"/>
        </w:rPr>
        <w:t>19 vaccines to the public. Eligible costs include, but are not limited to, those vaccination costs associated with staffing, security, traffic control, storage, transportation, mobile health units including the purchase, upfitting, staffing, and operations thereof, and technology that have not been reimbursed by an insurer</w:t>
      </w:r>
      <w:r>
        <w:rPr>
          <w:rFonts w:cs="Times New Roman"/>
          <w:color w:val="000000" w:themeColor="text1"/>
          <w:u w:color="000000" w:themeColor="text1"/>
        </w:rPr>
        <w:t>’</w:t>
      </w:r>
      <w:r w:rsidRPr="00CE69FA">
        <w:rPr>
          <w:rFonts w:cs="Times New Roman"/>
          <w:color w:val="000000" w:themeColor="text1"/>
          <w:u w:color="000000" w:themeColor="text1"/>
        </w:rPr>
        <w:t>s administration fee.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t>(D)</w:t>
      </w:r>
      <w:r w:rsidRPr="00CE69FA">
        <w:rPr>
          <w:rFonts w:cs="Times New Roman"/>
          <w:color w:val="000000" w:themeColor="text1"/>
          <w:u w:color="000000" w:themeColor="text1"/>
        </w:rPr>
        <w:tab/>
        <w:t xml:space="preserve">Additionally, from the funds appropriated in this section, DHEC, in coordination with MUSC, the South Carolina Hospital Association, the South Carolina Center for Rural and Primary Healthcare, and other relevant stakeholders, shall implement a plan to reach rural and underserved populations who are eligible to be vaccinated. </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eastAsia="Calibri" w:cs="Times New Roman"/>
          <w:color w:val="000000" w:themeColor="text1"/>
          <w:szCs w:val="18"/>
          <w:shd w:val="clear" w:color="auto" w:fill="FFFFFF"/>
        </w:rPr>
        <w:tab/>
        <w:t>(E)</w:t>
      </w:r>
      <w:r w:rsidRPr="00CE69FA">
        <w:rPr>
          <w:rFonts w:eastAsia="Calibri" w:cs="Times New Roman"/>
          <w:color w:val="000000" w:themeColor="text1"/>
          <w:szCs w:val="18"/>
          <w:shd w:val="clear" w:color="auto" w:fill="FFFFFF"/>
        </w:rPr>
        <w:tab/>
        <w:t>The funds appropriated in this section may be utilized to support the monitoring of positive COVID</w:t>
      </w:r>
      <w:r>
        <w:rPr>
          <w:rFonts w:eastAsia="Calibri" w:cs="Times New Roman"/>
          <w:color w:val="000000" w:themeColor="text1"/>
          <w:szCs w:val="18"/>
          <w:shd w:val="clear" w:color="auto" w:fill="FFFFFF"/>
        </w:rPr>
        <w:noBreakHyphen/>
      </w:r>
      <w:r w:rsidRPr="00CE69FA">
        <w:rPr>
          <w:rFonts w:eastAsia="Calibri" w:cs="Times New Roman"/>
          <w:color w:val="000000" w:themeColor="text1"/>
          <w:szCs w:val="18"/>
          <w:shd w:val="clear" w:color="auto" w:fill="FFFFFF"/>
        </w:rPr>
        <w:t>19 cases, which may include contact tracing. However, participation by individuals in the contact</w:t>
      </w:r>
      <w:r>
        <w:rPr>
          <w:rFonts w:eastAsia="Calibri" w:cs="Times New Roman"/>
          <w:color w:val="000000" w:themeColor="text1"/>
          <w:szCs w:val="18"/>
          <w:shd w:val="clear" w:color="auto" w:fill="FFFFFF"/>
        </w:rPr>
        <w:noBreakHyphen/>
      </w:r>
      <w:r w:rsidRPr="00CE69FA">
        <w:rPr>
          <w:rFonts w:eastAsia="Calibri" w:cs="Times New Roman"/>
          <w:color w:val="000000" w:themeColor="text1"/>
          <w:szCs w:val="18"/>
          <w:shd w:val="clear" w:color="auto" w:fill="FFFFFF"/>
        </w:rPr>
        <w:t>tracing program shall be solely on a voluntary basis. The Department of Health and Environmental Control and any individual conducting contact</w:t>
      </w:r>
      <w:r>
        <w:rPr>
          <w:rFonts w:eastAsia="Calibri" w:cs="Times New Roman"/>
          <w:color w:val="000000" w:themeColor="text1"/>
          <w:szCs w:val="18"/>
          <w:shd w:val="clear" w:color="auto" w:fill="FFFFFF"/>
        </w:rPr>
        <w:noBreakHyphen/>
      </w:r>
      <w:r w:rsidRPr="00CE69FA">
        <w:rPr>
          <w:rFonts w:eastAsia="Calibri" w:cs="Times New Roman"/>
          <w:color w:val="000000" w:themeColor="text1"/>
          <w:szCs w:val="18"/>
          <w:shd w:val="clear" w:color="auto" w:fill="FFFFFF"/>
        </w:rPr>
        <w:t>tracing collection are prohibited from using any applications created for such purpose on a cellular device. Any contact</w:t>
      </w:r>
      <w:r>
        <w:rPr>
          <w:rFonts w:eastAsia="Calibri" w:cs="Times New Roman"/>
          <w:color w:val="000000" w:themeColor="text1"/>
          <w:szCs w:val="18"/>
          <w:shd w:val="clear" w:color="auto" w:fill="FFFFFF"/>
        </w:rPr>
        <w:noBreakHyphen/>
      </w:r>
      <w:r w:rsidRPr="00CE69FA">
        <w:rPr>
          <w:rFonts w:eastAsia="Calibri" w:cs="Times New Roman"/>
          <w:color w:val="000000" w:themeColor="text1"/>
          <w:szCs w:val="18"/>
          <w:shd w:val="clear" w:color="auto" w:fill="FFFFFF"/>
        </w:rPr>
        <w:t>tracing technologies utilized for data collection must be restricted for the collection of public health information only and must be carried and maintained in a decentralized manner. Access to any information collected will be used for public health information purposes only and will comply with all confidentiality requirements contained in the Health Insurance Portability and Accountability Act. Contact tracers must be properly trained and certified by the Department of Health and Environmental Control. The department shall conduct a public awareness campaign to explain the use of contact tracing and that individuals may decline to participate.</w:t>
      </w:r>
      <w:r w:rsidRPr="00CE69FA">
        <w:rPr>
          <w:rFonts w:cs="Times New Roman"/>
          <w:color w:val="000000" w:themeColor="text1"/>
          <w:u w:color="000000" w:themeColor="text1"/>
        </w:rPr>
        <w:t xml:space="preserve"> </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snapToGrid w:val="0"/>
          <w:color w:val="000000" w:themeColor="text1"/>
        </w:rPr>
        <w:t>(F)</w:t>
      </w:r>
      <w:r w:rsidRPr="00CE69FA">
        <w:rPr>
          <w:rFonts w:cs="Times New Roman"/>
          <w:snapToGrid w:val="0"/>
          <w:color w:val="000000" w:themeColor="text1"/>
        </w:rPr>
        <w:tab/>
        <w:t>An entity that is identified in SECTION 1(A) as a recipient of appropriations from the Contingency Reserve Fund shall not be eligible to receive additional funds pursuant to SECTION 2.</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SECTION</w:t>
      </w:r>
      <w:r w:rsidRPr="00CE69FA">
        <w:rPr>
          <w:rFonts w:cs="Times New Roman"/>
          <w:color w:val="000000" w:themeColor="text1"/>
          <w:u w:color="000000" w:themeColor="text1"/>
        </w:rPr>
        <w:tab/>
        <w:t>2.</w:t>
      </w:r>
      <w:r w:rsidRPr="00CE69FA">
        <w:rPr>
          <w:rFonts w:cs="Times New Roman"/>
          <w:color w:val="000000" w:themeColor="text1"/>
          <w:u w:color="000000" w:themeColor="text1"/>
        </w:rPr>
        <w:tab/>
        <w:t>(A)</w:t>
      </w:r>
      <w:r w:rsidRPr="00CE69FA">
        <w:rPr>
          <w:rFonts w:cs="Times New Roman"/>
          <w:color w:val="000000" w:themeColor="text1"/>
          <w:u w:color="000000" w:themeColor="text1"/>
        </w:rPr>
        <w:tab/>
        <w:t>The Executive Budget Office shall establish the COVID</w:t>
      </w:r>
      <w:r>
        <w:rPr>
          <w:rFonts w:cs="Times New Roman"/>
          <w:color w:val="000000" w:themeColor="text1"/>
          <w:u w:color="000000" w:themeColor="text1"/>
        </w:rPr>
        <w:noBreakHyphen/>
      </w:r>
      <w:r w:rsidRPr="00CE69FA">
        <w:rPr>
          <w:rFonts w:cs="Times New Roman"/>
          <w:color w:val="000000" w:themeColor="text1"/>
          <w:u w:color="000000" w:themeColor="text1"/>
        </w:rPr>
        <w:t xml:space="preserve">19 Vaccine Reserve account to be maintained by the Executive Budget Office and administered as set forth in this section. </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t>(B)</w:t>
      </w:r>
      <w:r w:rsidRPr="00CE69FA">
        <w:rPr>
          <w:rFonts w:cs="Times New Roman"/>
          <w:color w:val="000000" w:themeColor="text1"/>
          <w:u w:color="000000" w:themeColor="text1"/>
        </w:rPr>
        <w:tab/>
        <w:t>From the Contingency Reserve Fund, there is appropriated $100,000,000 to the COVID</w:t>
      </w:r>
      <w:r>
        <w:rPr>
          <w:rFonts w:cs="Times New Roman"/>
          <w:color w:val="000000" w:themeColor="text1"/>
          <w:u w:color="000000" w:themeColor="text1"/>
        </w:rPr>
        <w:noBreakHyphen/>
      </w:r>
      <w:r w:rsidRPr="00CE69FA">
        <w:rPr>
          <w:rFonts w:cs="Times New Roman"/>
          <w:color w:val="000000" w:themeColor="text1"/>
          <w:u w:color="000000" w:themeColor="text1"/>
        </w:rPr>
        <w:t xml:space="preserve">19 Vaccine Reserve account. The Executive Budget Office only may release funds in the account upon </w:t>
      </w:r>
      <w:r w:rsidRPr="00CE69FA">
        <w:rPr>
          <w:rFonts w:cs="Times New Roman"/>
          <w:color w:val="000000" w:themeColor="text1"/>
          <w:u w:color="000000" w:themeColor="text1"/>
        </w:rPr>
        <w:lastRenderedPageBreak/>
        <w:t>receipt of a letter signed by the Director of DHEC.  DHEC shall allocate funds to eligible COVID</w:t>
      </w:r>
      <w:r>
        <w:rPr>
          <w:rFonts w:cs="Times New Roman"/>
          <w:color w:val="000000" w:themeColor="text1"/>
          <w:u w:color="000000" w:themeColor="text1"/>
        </w:rPr>
        <w:noBreakHyphen/>
      </w:r>
      <w:r w:rsidRPr="00CE69FA">
        <w:rPr>
          <w:rFonts w:cs="Times New Roman"/>
          <w:color w:val="000000" w:themeColor="text1"/>
          <w:u w:color="000000" w:themeColor="text1"/>
        </w:rPr>
        <w:t>19 vaccine providers in support of statewide vaccination efforts.  DHEC shall reimburse eligible providers only after affirming the recipient is a COVID</w:t>
      </w:r>
      <w:r>
        <w:rPr>
          <w:rFonts w:cs="Times New Roman"/>
          <w:color w:val="000000" w:themeColor="text1"/>
          <w:u w:color="000000" w:themeColor="text1"/>
        </w:rPr>
        <w:noBreakHyphen/>
      </w:r>
      <w:r w:rsidRPr="00CE69FA">
        <w:rPr>
          <w:rFonts w:cs="Times New Roman"/>
          <w:color w:val="000000" w:themeColor="text1"/>
          <w:u w:color="000000" w:themeColor="text1"/>
        </w:rPr>
        <w:t>19 vaccination provider enrolled and activated by DHEC, that DHEC has determined that the request will assist the State in its effort to achieve statewide vaccination, and that the enrolled and activated provider has the vaccine implementation capacity to justify the request.</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t>(C)(1)</w:t>
      </w:r>
      <w:r w:rsidRPr="00CE69FA">
        <w:rPr>
          <w:rFonts w:cs="Times New Roman"/>
          <w:color w:val="000000" w:themeColor="text1"/>
          <w:u w:color="000000" w:themeColor="text1"/>
        </w:rPr>
        <w:tab/>
        <w:t>From the funds appropriated in this section, the Executive Budget Office shall allocate up to $75,000,000 to hospitals, or a political subdivision of the State partnering with the same, to pay for the costs of administering the COVID</w:t>
      </w:r>
      <w:r>
        <w:rPr>
          <w:rFonts w:cs="Times New Roman"/>
          <w:color w:val="000000" w:themeColor="text1"/>
          <w:u w:color="000000" w:themeColor="text1"/>
        </w:rPr>
        <w:noBreakHyphen/>
      </w:r>
      <w:r w:rsidRPr="00CE69FA">
        <w:rPr>
          <w:rFonts w:cs="Times New Roman"/>
          <w:color w:val="000000" w:themeColor="text1"/>
          <w:u w:color="000000" w:themeColor="text1"/>
        </w:rPr>
        <w:t>19 vaccine.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t>(2)</w:t>
      </w:r>
      <w:r w:rsidRPr="00CE69FA">
        <w:rPr>
          <w:rFonts w:cs="Times New Roman"/>
          <w:color w:val="000000" w:themeColor="text1"/>
          <w:u w:color="000000" w:themeColor="text1"/>
        </w:rPr>
        <w:tab/>
        <w:t>From the funds appropriated in this section, the Executive Budget Office shall allocate up to $25,000,000 to other COVID</w:t>
      </w:r>
      <w:r>
        <w:rPr>
          <w:rFonts w:cs="Times New Roman"/>
          <w:color w:val="000000" w:themeColor="text1"/>
          <w:u w:color="000000" w:themeColor="text1"/>
        </w:rPr>
        <w:noBreakHyphen/>
      </w:r>
      <w:r w:rsidRPr="00CE69FA">
        <w:rPr>
          <w:rFonts w:cs="Times New Roman"/>
          <w:color w:val="000000" w:themeColor="text1"/>
          <w:u w:color="000000" w:themeColor="text1"/>
        </w:rPr>
        <w:t>19 vaccination providers, or a political subdivision of the State partnering with the same, that are enrolled and activated by DHEC, to pay for the costs of administering the COVID</w:t>
      </w:r>
      <w:r>
        <w:rPr>
          <w:rFonts w:cs="Times New Roman"/>
          <w:color w:val="000000" w:themeColor="text1"/>
          <w:u w:color="000000" w:themeColor="text1"/>
        </w:rPr>
        <w:noBreakHyphen/>
      </w:r>
      <w:r w:rsidRPr="00CE69FA">
        <w:rPr>
          <w:rFonts w:cs="Times New Roman"/>
          <w:color w:val="000000" w:themeColor="text1"/>
          <w:u w:color="000000" w:themeColor="text1"/>
        </w:rPr>
        <w:t>19 vaccine.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t>(3)</w:t>
      </w:r>
      <w:r w:rsidRPr="00CE69FA">
        <w:rPr>
          <w:rFonts w:cs="Times New Roman"/>
          <w:color w:val="000000" w:themeColor="text1"/>
          <w:u w:color="000000" w:themeColor="text1"/>
        </w:rPr>
        <w:tab/>
        <w:t>For purposes of this section, eligible costs of administering the COVID</w:t>
      </w:r>
      <w:r>
        <w:rPr>
          <w:rFonts w:cs="Times New Roman"/>
          <w:color w:val="000000" w:themeColor="text1"/>
          <w:u w:color="000000" w:themeColor="text1"/>
        </w:rPr>
        <w:noBreakHyphen/>
      </w:r>
      <w:r w:rsidRPr="00CE69FA">
        <w:rPr>
          <w:rFonts w:cs="Times New Roman"/>
          <w:color w:val="000000" w:themeColor="text1"/>
          <w:u w:color="000000" w:themeColor="text1"/>
        </w:rPr>
        <w:t>19 vaccine include, but are not limited to, those vaccination costs associated with staffing, facility rental, security, traffic control, storage, transportation, mobile health units including the purchase, upfitting, staffing, and operations thereof, and technology that have not been reimbursed by an insurer</w:t>
      </w:r>
      <w:r>
        <w:rPr>
          <w:rFonts w:cs="Times New Roman"/>
          <w:color w:val="000000" w:themeColor="text1"/>
          <w:u w:color="000000" w:themeColor="text1"/>
        </w:rPr>
        <w:t>’</w:t>
      </w:r>
      <w:r w:rsidRPr="00CE69FA">
        <w:rPr>
          <w:rFonts w:cs="Times New Roman"/>
          <w:color w:val="000000" w:themeColor="text1"/>
          <w:u w:color="000000" w:themeColor="text1"/>
        </w:rPr>
        <w:t>s administration fee.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t>(D)</w:t>
      </w:r>
      <w:r w:rsidRPr="00CE69FA">
        <w:rPr>
          <w:rFonts w:cs="Times New Roman"/>
          <w:color w:val="000000" w:themeColor="text1"/>
          <w:u w:color="000000" w:themeColor="text1"/>
        </w:rPr>
        <w:tab/>
        <w:t>In approving expenses, DHEC must give priority to hospitals and other COVID</w:t>
      </w:r>
      <w:r>
        <w:rPr>
          <w:rFonts w:cs="Times New Roman"/>
          <w:color w:val="000000" w:themeColor="text1"/>
          <w:u w:color="000000" w:themeColor="text1"/>
        </w:rPr>
        <w:noBreakHyphen/>
      </w:r>
      <w:r w:rsidRPr="00CE69FA">
        <w:rPr>
          <w:rFonts w:cs="Times New Roman"/>
          <w:color w:val="000000" w:themeColor="text1"/>
          <w:u w:color="000000" w:themeColor="text1"/>
        </w:rPr>
        <w:t>19 vaccine providers that are enrolled and activated by DHEC that can prove or have proven a high demand for the vaccine and the ability to meet the demand.</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t>(E)</w:t>
      </w:r>
      <w:r w:rsidRPr="00CE69FA">
        <w:rPr>
          <w:rFonts w:cs="Times New Roman"/>
          <w:color w:val="000000" w:themeColor="text1"/>
          <w:u w:color="000000" w:themeColor="text1"/>
        </w:rPr>
        <w:tab/>
        <w:t>Notwithstanding any other provision of this section, the Director of DHEC may not authorize the Executive Budget Office to release any funds from the COVID</w:t>
      </w:r>
      <w:r>
        <w:rPr>
          <w:rFonts w:cs="Times New Roman"/>
          <w:color w:val="000000" w:themeColor="text1"/>
          <w:u w:color="000000" w:themeColor="text1"/>
        </w:rPr>
        <w:noBreakHyphen/>
      </w:r>
      <w:r w:rsidRPr="00CE69FA">
        <w:rPr>
          <w:rFonts w:cs="Times New Roman"/>
          <w:color w:val="000000" w:themeColor="text1"/>
          <w:u w:color="000000" w:themeColor="text1"/>
        </w:rPr>
        <w:t>19 Vaccine Reserve account to any vaccine provider that is not offering vaccine appointments to the general public.</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t>(F)</w:t>
      </w:r>
      <w:r w:rsidRPr="00CE69FA">
        <w:rPr>
          <w:rFonts w:cs="Times New Roman"/>
          <w:color w:val="000000" w:themeColor="text1"/>
          <w:u w:color="000000" w:themeColor="text1"/>
        </w:rPr>
        <w:tab/>
        <w:t>On the first day of each month, the Executive Budget Office shall provide a detailed accounting of the expenditure of all funds appropriated pursuant to this section. The report shall be transmitted to the Governor, the General Assembly, and made available on the website of the Executive Budget Office. Additionally, any recipient must provide an accounting of the expenditures to DHEC and DHEC must post the accounting on its website.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SECTION</w:t>
      </w:r>
      <w:r w:rsidRPr="00CE69FA">
        <w:rPr>
          <w:rFonts w:cs="Times New Roman"/>
          <w:color w:val="000000" w:themeColor="text1"/>
          <w:u w:color="000000" w:themeColor="text1"/>
        </w:rPr>
        <w:tab/>
        <w:t>3.</w:t>
      </w:r>
      <w:r w:rsidRPr="00CE69FA">
        <w:rPr>
          <w:rFonts w:cs="Times New Roman"/>
          <w:color w:val="000000" w:themeColor="text1"/>
          <w:u w:color="000000" w:themeColor="text1"/>
        </w:rPr>
        <w:tab/>
        <w:t>(A)</w:t>
      </w:r>
      <w:r w:rsidRPr="00CE69FA">
        <w:rPr>
          <w:rFonts w:cs="Times New Roman"/>
          <w:color w:val="000000" w:themeColor="text1"/>
          <w:u w:color="000000" w:themeColor="text1"/>
        </w:rPr>
        <w:tab/>
        <w:t>Where appropriate and feasible, hospitals, medical providers, and other stakeholders receiving distributions pursuant to this joint resolution also shall seek reimbursement from an individual</w:t>
      </w:r>
      <w:r>
        <w:rPr>
          <w:rFonts w:cs="Times New Roman"/>
          <w:color w:val="000000" w:themeColor="text1"/>
          <w:u w:color="000000" w:themeColor="text1"/>
        </w:rPr>
        <w:t>’</w:t>
      </w:r>
      <w:r w:rsidRPr="00CE69FA">
        <w:rPr>
          <w:rFonts w:cs="Times New Roman"/>
          <w:color w:val="000000" w:themeColor="text1"/>
          <w:u w:color="000000" w:themeColor="text1"/>
        </w:rPr>
        <w:t>s public or private health insurer.</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lastRenderedPageBreak/>
        <w:tab/>
        <w:t>(B)</w:t>
      </w:r>
      <w:r w:rsidRPr="00CE69FA">
        <w:rPr>
          <w:rFonts w:cs="Times New Roman"/>
          <w:color w:val="000000" w:themeColor="text1"/>
          <w:u w:color="000000" w:themeColor="text1"/>
        </w:rPr>
        <w:tab/>
        <w:t>To maximize the benefit of all funds received by the State, DHEC and MUSC shall work with the Department of Administration to assure that available federal funds are utilized for the purposes of this joint resolution appropriately and minimize the use of state funds where possible.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t>(C)</w:t>
      </w:r>
      <w:r w:rsidRPr="00CE69FA">
        <w:rPr>
          <w:rFonts w:cs="Times New Roman"/>
          <w:color w:val="000000" w:themeColor="text1"/>
          <w:u w:color="000000" w:themeColor="text1"/>
        </w:rPr>
        <w:tab/>
        <w:t>If hospitals, medical providers, and other stakeholders receive distributions pursuant to this joint resolution also receive reimbursements from insurers or federal f</w:t>
      </w:r>
      <w:r w:rsidRPr="00CE69FA">
        <w:rPr>
          <w:rFonts w:cs="Times New Roman"/>
          <w:color w:val="000000" w:themeColor="text1"/>
        </w:rPr>
        <w:t>unds for the same purposes, then the distributions pursuant to this joint resolution exceeding the actual costs of vaccine administration must be remitted back to the agency or fund that distributed the funds.</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t>(D)</w:t>
      </w:r>
      <w:r w:rsidRPr="00CE69FA">
        <w:rPr>
          <w:rFonts w:cs="Times New Roman"/>
          <w:color w:val="000000" w:themeColor="text1"/>
          <w:u w:color="000000" w:themeColor="text1"/>
        </w:rPr>
        <w:tab/>
        <w:t xml:space="preserve">The provisions of this joint resolution shall apply to the extent permitted by federal law. </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 xml:space="preserve">4. </w:t>
      </w:r>
      <w:r>
        <w:rPr>
          <w:rFonts w:cs="Times New Roman"/>
          <w:color w:val="000000" w:themeColor="text1"/>
          <w:u w:color="000000" w:themeColor="text1"/>
        </w:rPr>
        <w:tab/>
      </w:r>
      <w:r w:rsidRPr="00CE69FA">
        <w:rPr>
          <w:rFonts w:cs="Times New Roman"/>
          <w:color w:val="000000" w:themeColor="text1"/>
          <w:u w:color="000000" w:themeColor="text1"/>
        </w:rPr>
        <w:t>A.</w:t>
      </w:r>
      <w:r w:rsidRPr="00CE69FA">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r>
      <w:r w:rsidRPr="00CE69FA">
        <w:rPr>
          <w:rFonts w:cs="Times New Roman"/>
          <w:color w:val="000000" w:themeColor="text1"/>
          <w:u w:color="000000" w:themeColor="text1"/>
        </w:rPr>
        <w:t>Notwithstanding any professional scope of practice or unauthorized practice of law provision in this State, the following individuals have the authority to administer premeasured doses of the COVID</w:t>
      </w:r>
      <w:r>
        <w:rPr>
          <w:rFonts w:cs="Times New Roman"/>
          <w:color w:val="000000" w:themeColor="text1"/>
          <w:u w:color="000000" w:themeColor="text1"/>
        </w:rPr>
        <w:noBreakHyphen/>
      </w:r>
      <w:r w:rsidRPr="00CE69FA">
        <w:rPr>
          <w:rFonts w:cs="Times New Roman"/>
          <w:color w:val="000000" w:themeColor="text1"/>
          <w:u w:color="000000" w:themeColor="text1"/>
        </w:rPr>
        <w:t>19 vaccine: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t>(1)</w:t>
      </w:r>
      <w:r w:rsidRPr="00CE69FA">
        <w:rPr>
          <w:rFonts w:cs="Times New Roman"/>
          <w:color w:val="000000" w:themeColor="text1"/>
          <w:u w:color="000000" w:themeColor="text1"/>
        </w:rPr>
        <w:tab/>
        <w:t>unlicensed personnel with current certification by the certifying boards of the American Association of Medical Assistants (AAMA), the National Center for Competency Testing (NCCT), National Association for Health Professionals (NAHP), the National Certification Medical Association (NCMA), National Healthcare Association (NHA), American Medical Technologists (AMT), or any other certifying body approved by the South Carolina Board of Medical Examiners, and documented training in intermuscular injections;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t>(2)</w:t>
      </w:r>
      <w:r w:rsidRPr="00CE69FA">
        <w:rPr>
          <w:rFonts w:cs="Times New Roman"/>
          <w:color w:val="000000" w:themeColor="text1"/>
          <w:u w:color="000000" w:themeColor="text1"/>
        </w:rPr>
        <w:tab/>
        <w:t>students of an accredited medical school, physician assistant school or program, or a nursing school or program with appropriate instruction and documented training in intramuscular injections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t>(3)</w:t>
      </w:r>
      <w:r w:rsidRPr="00CE69FA">
        <w:rPr>
          <w:rFonts w:cs="Times New Roman"/>
          <w:color w:val="000000" w:themeColor="text1"/>
          <w:u w:color="000000" w:themeColor="text1"/>
        </w:rPr>
        <w:tab/>
        <w:t xml:space="preserve">Registered Nurses and Licensed Practical Nurses who have retired, become inactive, or whose licenses have lapsed within the last five years, provided their licenses were in good standing at the time of retirement/inactivation/lapse; and who submit the appropriate </w:t>
      </w:r>
      <w:r w:rsidRPr="00CE69FA">
        <w:rPr>
          <w:rFonts w:cs="Times New Roman"/>
          <w:color w:val="000000" w:themeColor="text1"/>
          <w:u w:color="000000" w:themeColor="text1"/>
        </w:rPr>
        <w:lastRenderedPageBreak/>
        <w:t>documentation to the Board of Nursing to confirm licensure within the last five years and that such license was in good standing at the time of retirement/inactivation/lapse;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t>(4)</w:t>
      </w:r>
      <w:r w:rsidRPr="00CE69FA">
        <w:rPr>
          <w:rFonts w:cs="Times New Roman"/>
          <w:color w:val="000000" w:themeColor="text1"/>
          <w:u w:color="000000" w:themeColor="text1"/>
        </w:rPr>
        <w:tab/>
        <w:t>Physicians and Physician Assistants who have retired, become inactive, or whose licenses have lapsed within the last five years, provided their licenses were in good standing at the time of retirement/inactivation/lapse; and who submit the appropriate documentation to the Board of Medical Examiners to confirm licensure within the last five years and that such license was in good standing at the time of retirement/inactivation/lapse;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t>(5)</w:t>
      </w:r>
      <w:r w:rsidRPr="00CE69FA">
        <w:rPr>
          <w:rFonts w:cs="Times New Roman"/>
          <w:color w:val="000000" w:themeColor="text1"/>
          <w:u w:color="000000" w:themeColor="text1"/>
        </w:rPr>
        <w:tab/>
        <w:t>Dentists licensed in good standing by the South Carolina State Board of Dentistry who have successfully completed the following COVID</w:t>
      </w:r>
      <w:r>
        <w:rPr>
          <w:rFonts w:cs="Times New Roman"/>
          <w:color w:val="000000" w:themeColor="text1"/>
          <w:u w:color="000000" w:themeColor="text1"/>
        </w:rPr>
        <w:noBreakHyphen/>
      </w:r>
      <w:r w:rsidRPr="00CE69FA">
        <w:rPr>
          <w:rFonts w:cs="Times New Roman"/>
          <w:color w:val="000000" w:themeColor="text1"/>
          <w:u w:color="000000" w:themeColor="text1"/>
        </w:rPr>
        <w:t>19 training programs available through the Centers for Disease Control and Prevention:</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r>
      <w:r w:rsidRPr="00CE69FA">
        <w:rPr>
          <w:rFonts w:cs="Times New Roman"/>
          <w:color w:val="000000" w:themeColor="text1"/>
          <w:u w:color="000000" w:themeColor="text1"/>
        </w:rPr>
        <w:tab/>
        <w:t>(a)</w:t>
      </w:r>
      <w:r w:rsidRPr="00CE69FA">
        <w:rPr>
          <w:rFonts w:cs="Times New Roman"/>
          <w:color w:val="000000" w:themeColor="text1"/>
          <w:u w:color="000000" w:themeColor="text1"/>
        </w:rPr>
        <w:tab/>
        <w:t>“COVID</w:t>
      </w:r>
      <w:r>
        <w:rPr>
          <w:rFonts w:cs="Times New Roman"/>
          <w:color w:val="000000" w:themeColor="text1"/>
          <w:u w:color="000000" w:themeColor="text1"/>
        </w:rPr>
        <w:noBreakHyphen/>
      </w:r>
      <w:r w:rsidRPr="00CE69FA">
        <w:rPr>
          <w:rFonts w:cs="Times New Roman"/>
          <w:color w:val="000000" w:themeColor="text1"/>
          <w:u w:color="000000" w:themeColor="text1"/>
        </w:rPr>
        <w:t>19 Vaccine Training; General Overview of Immunization Best Practices for Healthcare Providers”;</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r>
      <w:r w:rsidRPr="00CE69FA">
        <w:rPr>
          <w:rFonts w:cs="Times New Roman"/>
          <w:color w:val="000000" w:themeColor="text1"/>
          <w:u w:color="000000" w:themeColor="text1"/>
        </w:rPr>
        <w:tab/>
        <w:t>(b)</w:t>
      </w:r>
      <w:r w:rsidRPr="00CE69FA">
        <w:rPr>
          <w:rFonts w:cs="Times New Roman"/>
          <w:color w:val="000000" w:themeColor="text1"/>
          <w:u w:color="000000" w:themeColor="text1"/>
        </w:rPr>
        <w:tab/>
        <w:t>“What Every Clinician Should Know about COVID</w:t>
      </w:r>
      <w:r>
        <w:rPr>
          <w:rFonts w:cs="Times New Roman"/>
          <w:color w:val="000000" w:themeColor="text1"/>
          <w:u w:color="000000" w:themeColor="text1"/>
        </w:rPr>
        <w:noBreakHyphen/>
      </w:r>
      <w:r w:rsidRPr="00CE69FA">
        <w:rPr>
          <w:rFonts w:cs="Times New Roman"/>
          <w:color w:val="000000" w:themeColor="text1"/>
          <w:u w:color="000000" w:themeColor="text1"/>
        </w:rPr>
        <w:t>19 Vaccines Safety”;</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r>
      <w:r w:rsidRPr="00CE69FA">
        <w:rPr>
          <w:rFonts w:cs="Times New Roman"/>
          <w:color w:val="000000" w:themeColor="text1"/>
          <w:u w:color="000000" w:themeColor="text1"/>
        </w:rPr>
        <w:tab/>
        <w:t>(c)</w:t>
      </w:r>
      <w:r w:rsidRPr="00CE69FA">
        <w:rPr>
          <w:rFonts w:cs="Times New Roman"/>
          <w:color w:val="000000" w:themeColor="text1"/>
          <w:u w:color="000000" w:themeColor="text1"/>
        </w:rPr>
        <w:tab/>
        <w:t>“What Clinicians Need to Know About the Pfizer</w:t>
      </w:r>
      <w:r>
        <w:rPr>
          <w:rFonts w:cs="Times New Roman"/>
          <w:color w:val="000000" w:themeColor="text1"/>
          <w:u w:color="000000" w:themeColor="text1"/>
        </w:rPr>
        <w:noBreakHyphen/>
      </w:r>
      <w:r w:rsidRPr="00CE69FA">
        <w:rPr>
          <w:rFonts w:cs="Times New Roman"/>
          <w:color w:val="000000" w:themeColor="text1"/>
          <w:u w:color="000000" w:themeColor="text1"/>
        </w:rPr>
        <w:t>BioNTech and Moderna COVID</w:t>
      </w:r>
      <w:r>
        <w:rPr>
          <w:rFonts w:cs="Times New Roman"/>
          <w:color w:val="000000" w:themeColor="text1"/>
          <w:u w:color="000000" w:themeColor="text1"/>
        </w:rPr>
        <w:noBreakHyphen/>
      </w:r>
      <w:r w:rsidRPr="00CE69FA">
        <w:rPr>
          <w:rFonts w:cs="Times New Roman"/>
          <w:color w:val="000000" w:themeColor="text1"/>
          <w:u w:color="000000" w:themeColor="text1"/>
        </w:rPr>
        <w:t>19 Vaccines”; and</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r>
      <w:r w:rsidRPr="00CE69FA">
        <w:rPr>
          <w:rFonts w:cs="Times New Roman"/>
          <w:color w:val="000000" w:themeColor="text1"/>
          <w:u w:color="000000" w:themeColor="text1"/>
        </w:rPr>
        <w:tab/>
        <w:t>(d)</w:t>
      </w:r>
      <w:r w:rsidRPr="00CE69FA">
        <w:rPr>
          <w:rFonts w:cs="Times New Roman"/>
          <w:color w:val="000000" w:themeColor="text1"/>
          <w:u w:color="000000" w:themeColor="text1"/>
        </w:rPr>
        <w:tab/>
        <w:t>“Pfizer</w:t>
      </w:r>
      <w:r>
        <w:rPr>
          <w:rFonts w:cs="Times New Roman"/>
          <w:color w:val="000000" w:themeColor="text1"/>
          <w:u w:color="000000" w:themeColor="text1"/>
        </w:rPr>
        <w:noBreakHyphen/>
      </w:r>
      <w:r w:rsidRPr="00CE69FA">
        <w:rPr>
          <w:rFonts w:cs="Times New Roman"/>
          <w:color w:val="000000" w:themeColor="text1"/>
          <w:u w:color="000000" w:themeColor="text1"/>
        </w:rPr>
        <w:t>BioNTech COVID</w:t>
      </w:r>
      <w:r>
        <w:rPr>
          <w:rFonts w:cs="Times New Roman"/>
          <w:color w:val="000000" w:themeColor="text1"/>
          <w:u w:color="000000" w:themeColor="text1"/>
        </w:rPr>
        <w:noBreakHyphen/>
      </w:r>
      <w:r w:rsidRPr="00CE69FA">
        <w:rPr>
          <w:rFonts w:cs="Times New Roman"/>
          <w:color w:val="000000" w:themeColor="text1"/>
          <w:u w:color="000000" w:themeColor="text1"/>
        </w:rPr>
        <w:t>19 Vaccine: What Healthcare Professionals Need to Know”; and who administer the vaccine at a site dedicated to the administration of the COVID</w:t>
      </w:r>
      <w:r>
        <w:rPr>
          <w:rFonts w:cs="Times New Roman"/>
          <w:color w:val="000000" w:themeColor="text1"/>
          <w:u w:color="000000" w:themeColor="text1"/>
        </w:rPr>
        <w:noBreakHyphen/>
      </w:r>
      <w:r w:rsidRPr="00CE69FA">
        <w:rPr>
          <w:rFonts w:cs="Times New Roman"/>
          <w:color w:val="000000" w:themeColor="text1"/>
          <w:u w:color="000000" w:themeColor="text1"/>
        </w:rPr>
        <w:t xml:space="preserve">19 vaccine, which does not include the office in which the </w:t>
      </w:r>
      <w:r>
        <w:rPr>
          <w:rFonts w:cs="Times New Roman"/>
          <w:color w:val="000000" w:themeColor="text1"/>
          <w:u w:color="000000" w:themeColor="text1"/>
        </w:rPr>
        <w:t>D</w:t>
      </w:r>
      <w:r w:rsidRPr="00CE69FA">
        <w:rPr>
          <w:rFonts w:cs="Times New Roman"/>
          <w:color w:val="000000" w:themeColor="text1"/>
          <w:u w:color="000000" w:themeColor="text1"/>
        </w:rPr>
        <w:t>entist typically practices dentistry,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 and</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t>(6)</w:t>
      </w:r>
      <w:r w:rsidRPr="00CE69FA">
        <w:rPr>
          <w:rFonts w:cs="Times New Roman"/>
          <w:color w:val="000000" w:themeColor="text1"/>
          <w:u w:color="000000" w:themeColor="text1"/>
        </w:rPr>
        <w:tab/>
        <w:t>Optometrists licensed in good standing by the South Carolina Board of Examiners in Optometry who have successfully completed the following COVID</w:t>
      </w:r>
      <w:r>
        <w:rPr>
          <w:rFonts w:cs="Times New Roman"/>
          <w:color w:val="000000" w:themeColor="text1"/>
          <w:u w:color="000000" w:themeColor="text1"/>
        </w:rPr>
        <w:noBreakHyphen/>
      </w:r>
      <w:r w:rsidRPr="00CE69FA">
        <w:rPr>
          <w:rFonts w:cs="Times New Roman"/>
          <w:color w:val="000000" w:themeColor="text1"/>
          <w:u w:color="000000" w:themeColor="text1"/>
        </w:rPr>
        <w:t>19 training programs available through the Centers for Disease Control and Prevention:</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lastRenderedPageBreak/>
        <w:tab/>
      </w:r>
      <w:r w:rsidRPr="00CE69FA">
        <w:rPr>
          <w:rFonts w:cs="Times New Roman"/>
          <w:color w:val="000000" w:themeColor="text1"/>
          <w:u w:color="000000" w:themeColor="text1"/>
        </w:rPr>
        <w:tab/>
      </w:r>
      <w:r w:rsidRPr="00CE69FA">
        <w:rPr>
          <w:rFonts w:cs="Times New Roman"/>
          <w:color w:val="000000" w:themeColor="text1"/>
          <w:u w:color="000000" w:themeColor="text1"/>
        </w:rPr>
        <w:tab/>
        <w:t>(a)</w:t>
      </w:r>
      <w:r w:rsidRPr="00CE69FA">
        <w:rPr>
          <w:rFonts w:cs="Times New Roman"/>
          <w:color w:val="000000" w:themeColor="text1"/>
          <w:u w:color="000000" w:themeColor="text1"/>
        </w:rPr>
        <w:tab/>
        <w:t>“COVID</w:t>
      </w:r>
      <w:r>
        <w:rPr>
          <w:rFonts w:cs="Times New Roman"/>
          <w:color w:val="000000" w:themeColor="text1"/>
          <w:u w:color="000000" w:themeColor="text1"/>
        </w:rPr>
        <w:noBreakHyphen/>
      </w:r>
      <w:r w:rsidRPr="00CE69FA">
        <w:rPr>
          <w:rFonts w:cs="Times New Roman"/>
          <w:color w:val="000000" w:themeColor="text1"/>
          <w:u w:color="000000" w:themeColor="text1"/>
        </w:rPr>
        <w:t>19 Vaccine Training; General Overview of Immunization Best Practices for Healthcare Providers”;</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r>
      <w:r w:rsidRPr="00CE69FA">
        <w:rPr>
          <w:rFonts w:cs="Times New Roman"/>
          <w:color w:val="000000" w:themeColor="text1"/>
          <w:u w:color="000000" w:themeColor="text1"/>
        </w:rPr>
        <w:tab/>
        <w:t>(b)</w:t>
      </w:r>
      <w:r w:rsidRPr="00CE69FA">
        <w:rPr>
          <w:rFonts w:cs="Times New Roman"/>
          <w:color w:val="000000" w:themeColor="text1"/>
          <w:u w:color="000000" w:themeColor="text1"/>
        </w:rPr>
        <w:tab/>
        <w:t>“What Every Clinician Should Know about COVID</w:t>
      </w:r>
      <w:r>
        <w:rPr>
          <w:rFonts w:cs="Times New Roman"/>
          <w:color w:val="000000" w:themeColor="text1"/>
          <w:u w:color="000000" w:themeColor="text1"/>
        </w:rPr>
        <w:noBreakHyphen/>
      </w:r>
      <w:r w:rsidRPr="00CE69FA">
        <w:rPr>
          <w:rFonts w:cs="Times New Roman"/>
          <w:color w:val="000000" w:themeColor="text1"/>
          <w:u w:color="000000" w:themeColor="text1"/>
        </w:rPr>
        <w:t>19 Vaccines Safety”;</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r>
      <w:r w:rsidRPr="00CE69FA">
        <w:rPr>
          <w:rFonts w:cs="Times New Roman"/>
          <w:color w:val="000000" w:themeColor="text1"/>
          <w:u w:color="000000" w:themeColor="text1"/>
        </w:rPr>
        <w:tab/>
        <w:t>(c)</w:t>
      </w:r>
      <w:r w:rsidRPr="00CE69FA">
        <w:rPr>
          <w:rFonts w:cs="Times New Roman"/>
          <w:color w:val="000000" w:themeColor="text1"/>
          <w:u w:color="000000" w:themeColor="text1"/>
        </w:rPr>
        <w:tab/>
        <w:t>“What Clinicians Need to Know About the Pfizer</w:t>
      </w:r>
      <w:r>
        <w:rPr>
          <w:rFonts w:cs="Times New Roman"/>
          <w:color w:val="000000" w:themeColor="text1"/>
          <w:u w:color="000000" w:themeColor="text1"/>
        </w:rPr>
        <w:noBreakHyphen/>
      </w:r>
      <w:r w:rsidRPr="00CE69FA">
        <w:rPr>
          <w:rFonts w:cs="Times New Roman"/>
          <w:color w:val="000000" w:themeColor="text1"/>
          <w:u w:color="000000" w:themeColor="text1"/>
        </w:rPr>
        <w:t>BioNTech and Moderna COVID</w:t>
      </w:r>
      <w:r>
        <w:rPr>
          <w:rFonts w:cs="Times New Roman"/>
          <w:color w:val="000000" w:themeColor="text1"/>
          <w:u w:color="000000" w:themeColor="text1"/>
        </w:rPr>
        <w:noBreakHyphen/>
      </w:r>
      <w:r w:rsidRPr="00CE69FA">
        <w:rPr>
          <w:rFonts w:cs="Times New Roman"/>
          <w:color w:val="000000" w:themeColor="text1"/>
          <w:u w:color="000000" w:themeColor="text1"/>
        </w:rPr>
        <w:t>19 Vaccines”; and</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r>
      <w:r w:rsidRPr="00CE69FA">
        <w:rPr>
          <w:rFonts w:cs="Times New Roman"/>
          <w:color w:val="000000" w:themeColor="text1"/>
          <w:u w:color="000000" w:themeColor="text1"/>
        </w:rPr>
        <w:tab/>
      </w:r>
      <w:r w:rsidRPr="00CE69FA">
        <w:rPr>
          <w:rFonts w:cs="Times New Roman"/>
          <w:color w:val="000000" w:themeColor="text1"/>
          <w:u w:color="000000" w:themeColor="text1"/>
        </w:rPr>
        <w:tab/>
        <w:t>(d)</w:t>
      </w:r>
      <w:r w:rsidRPr="00CE69FA">
        <w:rPr>
          <w:rFonts w:cs="Times New Roman"/>
          <w:color w:val="000000" w:themeColor="text1"/>
          <w:u w:color="000000" w:themeColor="text1"/>
        </w:rPr>
        <w:tab/>
        <w:t>“Pfizer</w:t>
      </w:r>
      <w:r>
        <w:rPr>
          <w:rFonts w:cs="Times New Roman"/>
          <w:color w:val="000000" w:themeColor="text1"/>
          <w:u w:color="000000" w:themeColor="text1"/>
        </w:rPr>
        <w:noBreakHyphen/>
      </w:r>
      <w:r w:rsidRPr="00CE69FA">
        <w:rPr>
          <w:rFonts w:cs="Times New Roman"/>
          <w:color w:val="000000" w:themeColor="text1"/>
          <w:u w:color="000000" w:themeColor="text1"/>
        </w:rPr>
        <w:t>BioNTech COVID</w:t>
      </w:r>
      <w:r>
        <w:rPr>
          <w:rFonts w:cs="Times New Roman"/>
          <w:color w:val="000000" w:themeColor="text1"/>
          <w:u w:color="000000" w:themeColor="text1"/>
        </w:rPr>
        <w:noBreakHyphen/>
      </w:r>
      <w:r w:rsidRPr="00CE69FA">
        <w:rPr>
          <w:rFonts w:cs="Times New Roman"/>
          <w:color w:val="000000" w:themeColor="text1"/>
          <w:u w:color="000000" w:themeColor="text1"/>
        </w:rPr>
        <w:t>19 Vaccine: What Healthcare Professionals Need to Know”; and who administer the vaccine at a site dedicated to the administration of the COVID</w:t>
      </w:r>
      <w:r>
        <w:rPr>
          <w:rFonts w:cs="Times New Roman"/>
          <w:color w:val="000000" w:themeColor="text1"/>
          <w:u w:color="000000" w:themeColor="text1"/>
        </w:rPr>
        <w:noBreakHyphen/>
      </w:r>
      <w:r w:rsidRPr="00CE69FA">
        <w:rPr>
          <w:rFonts w:cs="Times New Roman"/>
          <w:color w:val="000000" w:themeColor="text1"/>
          <w:u w:color="000000" w:themeColor="text1"/>
        </w:rPr>
        <w:t xml:space="preserve">19 vaccine, which does not include the office in which the </w:t>
      </w:r>
      <w:r>
        <w:rPr>
          <w:rFonts w:cs="Times New Roman"/>
          <w:color w:val="000000" w:themeColor="text1"/>
          <w:u w:color="000000" w:themeColor="text1"/>
        </w:rPr>
        <w:t>O</w:t>
      </w:r>
      <w:r w:rsidRPr="00CE69FA">
        <w:rPr>
          <w:rFonts w:cs="Times New Roman"/>
          <w:color w:val="000000" w:themeColor="text1"/>
          <w:u w:color="000000" w:themeColor="text1"/>
        </w:rPr>
        <w:t>ptometrist typically practices optometry,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r w:rsidRPr="00CE69FA">
        <w:rPr>
          <w:rFonts w:cs="Times New Roman"/>
          <w:color w:val="000000" w:themeColor="text1"/>
          <w:u w:color="000000" w:themeColor="text1"/>
        </w:rPr>
        <w:tab/>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E69FA">
        <w:rPr>
          <w:rFonts w:cs="Times New Roman"/>
          <w:color w:val="000000" w:themeColor="text1"/>
          <w:u w:color="000000" w:themeColor="text1"/>
        </w:rPr>
        <w:tab/>
        <w:t>(B)</w:t>
      </w:r>
      <w:r w:rsidRPr="00CE69FA">
        <w:rPr>
          <w:rFonts w:cs="Times New Roman"/>
          <w:color w:val="000000" w:themeColor="text1"/>
          <w:u w:color="000000" w:themeColor="text1"/>
        </w:rPr>
        <w:tab/>
        <w:t>Notwithstanding any professional scope of practice or unauthorized practice provision in this State, South Carolina</w:t>
      </w:r>
      <w:r>
        <w:rPr>
          <w:rFonts w:cs="Times New Roman"/>
          <w:color w:val="000000" w:themeColor="text1"/>
          <w:u w:color="000000" w:themeColor="text1"/>
        </w:rPr>
        <w:noBreakHyphen/>
      </w:r>
      <w:r w:rsidRPr="00CE69FA">
        <w:rPr>
          <w:rFonts w:cs="Times New Roman"/>
          <w:color w:val="000000" w:themeColor="text1"/>
          <w:u w:color="000000" w:themeColor="text1"/>
        </w:rPr>
        <w:t>licensed Advanced Practice Registered Nurses, Physician Assistants, and Registered Nurses in good standing may delegate COVID</w:t>
      </w:r>
      <w:r>
        <w:rPr>
          <w:rFonts w:cs="Times New Roman"/>
          <w:color w:val="000000" w:themeColor="text1"/>
          <w:u w:color="000000" w:themeColor="text1"/>
        </w:rPr>
        <w:noBreakHyphen/>
      </w:r>
      <w:r w:rsidRPr="00CE69FA">
        <w:rPr>
          <w:rFonts w:cs="Times New Roman"/>
          <w:color w:val="000000" w:themeColor="text1"/>
          <w:u w:color="000000" w:themeColor="text1"/>
        </w:rPr>
        <w:t>19 vaccine dose administration to any individual authorized by South Carolina law to administer vaccines or identified in this section as authorized to administer COVID</w:t>
      </w:r>
      <w:r>
        <w:rPr>
          <w:rFonts w:cs="Times New Roman"/>
          <w:color w:val="000000" w:themeColor="text1"/>
          <w:u w:color="000000" w:themeColor="text1"/>
        </w:rPr>
        <w:noBreakHyphen/>
      </w:r>
      <w:r w:rsidRPr="00CE69FA">
        <w:rPr>
          <w:rFonts w:cs="Times New Roman"/>
          <w:color w:val="000000" w:themeColor="text1"/>
          <w:u w:color="000000" w:themeColor="text1"/>
        </w:rPr>
        <w:t xml:space="preserve">19 vaccines. </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 xml:space="preserve">B. </w:t>
      </w:r>
      <w:r>
        <w:rPr>
          <w:rFonts w:cs="Times New Roman"/>
          <w:color w:val="000000" w:themeColor="text1"/>
          <w:u w:color="000000" w:themeColor="text1"/>
        </w:rPr>
        <w:tab/>
      </w:r>
      <w:r w:rsidRPr="00CE69FA">
        <w:rPr>
          <w:rFonts w:cs="Times New Roman"/>
          <w:color w:val="000000" w:themeColor="text1"/>
          <w:u w:color="000000" w:themeColor="text1"/>
        </w:rPr>
        <w:t>This section terminates and is no longer effective when South Carolina is no longer under a declared public health emergency concerning COVID</w:t>
      </w:r>
      <w:r>
        <w:rPr>
          <w:rFonts w:cs="Times New Roman"/>
          <w:color w:val="000000" w:themeColor="text1"/>
          <w:u w:color="000000" w:themeColor="text1"/>
        </w:rPr>
        <w:noBreakHyphen/>
      </w:r>
      <w:r w:rsidRPr="00CE69FA">
        <w:rPr>
          <w:rFonts w:cs="Times New Roman"/>
          <w:color w:val="000000" w:themeColor="text1"/>
          <w:u w:color="000000" w:themeColor="text1"/>
        </w:rPr>
        <w:t>19.</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Pr>
          <w:rFonts w:cs="Times New Roman"/>
          <w:color w:val="000000" w:themeColor="text1"/>
        </w:rPr>
        <w:t>SECTION</w:t>
      </w:r>
      <w:r>
        <w:rPr>
          <w:rFonts w:cs="Times New Roman"/>
          <w:color w:val="000000" w:themeColor="text1"/>
        </w:rPr>
        <w:tab/>
        <w:t xml:space="preserve">5. </w:t>
      </w:r>
      <w:r>
        <w:rPr>
          <w:rFonts w:cs="Times New Roman"/>
          <w:color w:val="000000" w:themeColor="text1"/>
        </w:rPr>
        <w:tab/>
      </w:r>
      <w:r w:rsidRPr="00CE69FA">
        <w:rPr>
          <w:rFonts w:cs="Times New Roman"/>
          <w:color w:val="000000" w:themeColor="text1"/>
        </w:rPr>
        <w:t>A.</w:t>
      </w:r>
      <w:r>
        <w:rPr>
          <w:rFonts w:cs="Times New Roman"/>
          <w:color w:val="000000" w:themeColor="text1"/>
        </w:rPr>
        <w:tab/>
      </w:r>
      <w:r w:rsidRPr="00CE69FA">
        <w:rPr>
          <w:rFonts w:cs="Times New Roman"/>
          <w:color w:val="000000" w:themeColor="text1"/>
        </w:rPr>
        <w:tab/>
        <w:t>(A)</w:t>
      </w:r>
      <w:r w:rsidRPr="00CE69FA">
        <w:rPr>
          <w:rFonts w:cs="Times New Roman"/>
          <w:color w:val="000000" w:themeColor="text1"/>
        </w:rPr>
        <w:tab/>
        <w:t xml:space="preserve">Beginning fourteen days after the effective date of this joint resolution, all first dose vaccines received by the State which have not already been set for distribution must be </w:t>
      </w:r>
      <w:r w:rsidRPr="00CE69FA">
        <w:rPr>
          <w:rFonts w:eastAsia="Calibri" w:cs="Times New Roman"/>
          <w:color w:val="000000" w:themeColor="text1"/>
          <w:u w:color="000000"/>
        </w:rPr>
        <w:t>allocated to the four DHEC public health regions in a per</w:t>
      </w:r>
      <w:r>
        <w:rPr>
          <w:rFonts w:eastAsia="Calibri" w:cs="Times New Roman"/>
          <w:color w:val="000000" w:themeColor="text1"/>
          <w:u w:color="000000"/>
        </w:rPr>
        <w:noBreakHyphen/>
      </w:r>
      <w:r w:rsidRPr="00CE69FA">
        <w:rPr>
          <w:rFonts w:eastAsia="Calibri" w:cs="Times New Roman"/>
          <w:color w:val="000000" w:themeColor="text1"/>
          <w:u w:color="000000"/>
        </w:rPr>
        <w:t>capita manner with considerations taken into account for factors including, but not limited to, poverty level, infection rates, age, and high</w:t>
      </w:r>
      <w:r>
        <w:rPr>
          <w:rFonts w:eastAsia="Calibri" w:cs="Times New Roman"/>
          <w:color w:val="000000" w:themeColor="text1"/>
          <w:u w:color="000000"/>
        </w:rPr>
        <w:noBreakHyphen/>
      </w:r>
      <w:r w:rsidRPr="00CE69FA">
        <w:rPr>
          <w:rFonts w:eastAsia="Calibri" w:cs="Times New Roman"/>
          <w:color w:val="000000" w:themeColor="text1"/>
          <w:u w:color="000000"/>
        </w:rPr>
        <w:t>risk populations.  From the funds appropriated in this act or from other COVID</w:t>
      </w:r>
      <w:r>
        <w:rPr>
          <w:rFonts w:eastAsia="Calibri" w:cs="Times New Roman"/>
          <w:color w:val="000000" w:themeColor="text1"/>
          <w:u w:color="000000"/>
        </w:rPr>
        <w:noBreakHyphen/>
      </w:r>
      <w:r w:rsidRPr="00CE69FA">
        <w:rPr>
          <w:rFonts w:eastAsia="Calibri" w:cs="Times New Roman"/>
          <w:color w:val="000000" w:themeColor="text1"/>
          <w:u w:color="000000"/>
        </w:rPr>
        <w:t>19</w:t>
      </w:r>
      <w:r>
        <w:rPr>
          <w:rFonts w:eastAsia="Calibri" w:cs="Times New Roman"/>
          <w:color w:val="000000" w:themeColor="text1"/>
          <w:u w:color="000000"/>
        </w:rPr>
        <w:noBreakHyphen/>
      </w:r>
      <w:r w:rsidRPr="00CE69FA">
        <w:rPr>
          <w:rFonts w:eastAsia="Calibri" w:cs="Times New Roman"/>
          <w:color w:val="000000" w:themeColor="text1"/>
          <w:u w:color="000000"/>
        </w:rPr>
        <w:t xml:space="preserve">related appropriations, MUSC shall coordinate with DHEC and partner with local healthcare providers to ensure that gaps in statewide vaccination delivery are covered, with priority given to rural and underserved areas. </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t>(B)</w:t>
      </w:r>
      <w:r w:rsidRPr="00CE69FA">
        <w:rPr>
          <w:rFonts w:eastAsia="Calibri" w:cs="Times New Roman"/>
          <w:color w:val="000000" w:themeColor="text1"/>
          <w:u w:color="000000"/>
        </w:rPr>
        <w:tab/>
        <w:t>DHEC shall allocate vaccines so that they are distributed in a manner that ensures that each of its four public health regions shall receive a per</w:t>
      </w:r>
      <w:r>
        <w:rPr>
          <w:rFonts w:eastAsia="Calibri" w:cs="Times New Roman"/>
          <w:color w:val="000000" w:themeColor="text1"/>
          <w:u w:color="000000"/>
        </w:rPr>
        <w:noBreakHyphen/>
      </w:r>
      <w:r w:rsidRPr="00CE69FA">
        <w:rPr>
          <w:rFonts w:eastAsia="Calibri" w:cs="Times New Roman"/>
          <w:color w:val="000000" w:themeColor="text1"/>
          <w:u w:color="000000"/>
        </w:rPr>
        <w:t>capita allocation, as described in subsection (A). DHEC</w:t>
      </w:r>
      <w:r>
        <w:rPr>
          <w:rFonts w:eastAsia="Calibri" w:cs="Times New Roman"/>
          <w:color w:val="000000" w:themeColor="text1"/>
          <w:u w:color="000000"/>
        </w:rPr>
        <w:t>’</w:t>
      </w:r>
      <w:r w:rsidRPr="00CE69FA">
        <w:rPr>
          <w:rFonts w:eastAsia="Calibri" w:cs="Times New Roman"/>
          <w:color w:val="000000" w:themeColor="text1"/>
          <w:u w:color="000000"/>
        </w:rPr>
        <w:t>s allocations to specific vaccine providers must:</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t>(1)</w:t>
      </w:r>
      <w:r w:rsidRPr="00CE69FA">
        <w:rPr>
          <w:rFonts w:eastAsia="Calibri" w:cs="Times New Roman"/>
          <w:color w:val="000000" w:themeColor="text1"/>
          <w:u w:color="000000"/>
        </w:rPr>
        <w:tab/>
        <w:t>take into consideration recommendations from affected stakeholders and vacc</w:t>
      </w:r>
      <w:r>
        <w:rPr>
          <w:rFonts w:eastAsia="Calibri" w:cs="Times New Roman"/>
          <w:color w:val="000000" w:themeColor="text1"/>
          <w:u w:color="000000"/>
        </w:rPr>
        <w:t>ine providers within the region</w:t>
      </w:r>
      <w:r w:rsidRPr="00CE69FA">
        <w:rPr>
          <w:rFonts w:eastAsia="Calibri" w:cs="Times New Roman"/>
          <w:color w:val="000000" w:themeColor="text1"/>
          <w:u w:color="000000"/>
        </w:rPr>
        <w:t xml:space="preserve"> including, but not </w:t>
      </w:r>
      <w:r w:rsidRPr="00CE69FA">
        <w:rPr>
          <w:rFonts w:eastAsia="Calibri" w:cs="Times New Roman"/>
          <w:color w:val="000000" w:themeColor="text1"/>
          <w:u w:color="000000"/>
        </w:rPr>
        <w:lastRenderedPageBreak/>
        <w:t>limited to, hospitals, primary care practices, pharmacies, rural health clinics, and the South Carolina Primary Care Association and any other federally qualified health centers; and</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t>(2)</w:t>
      </w:r>
      <w:r w:rsidRPr="00CE69FA">
        <w:rPr>
          <w:rFonts w:eastAsia="Calibri" w:cs="Times New Roman"/>
          <w:color w:val="000000" w:themeColor="text1"/>
          <w:u w:color="000000"/>
        </w:rPr>
        <w:tab/>
        <w:t>be based upon the following priorities:</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r>
      <w:r w:rsidRPr="00CE69FA">
        <w:rPr>
          <w:rFonts w:eastAsia="Calibri" w:cs="Times New Roman"/>
          <w:color w:val="000000" w:themeColor="text1"/>
          <w:u w:color="000000"/>
        </w:rPr>
        <w:tab/>
        <w:t>(a)</w:t>
      </w:r>
      <w:r w:rsidRPr="00CE69FA">
        <w:rPr>
          <w:rFonts w:eastAsia="Calibri" w:cs="Times New Roman"/>
          <w:color w:val="000000" w:themeColor="text1"/>
          <w:u w:color="000000"/>
        </w:rPr>
        <w:tab/>
        <w:t>rural and underserved communities must have equitable access to receiving the COVID</w:t>
      </w:r>
      <w:r>
        <w:rPr>
          <w:rFonts w:eastAsia="Calibri" w:cs="Times New Roman"/>
          <w:color w:val="000000" w:themeColor="text1"/>
          <w:u w:color="000000"/>
        </w:rPr>
        <w:noBreakHyphen/>
      </w:r>
      <w:r w:rsidRPr="00CE69FA">
        <w:rPr>
          <w:rFonts w:eastAsia="Calibri" w:cs="Times New Roman"/>
          <w:color w:val="000000" w:themeColor="text1"/>
          <w:u w:color="000000"/>
        </w:rPr>
        <w:t>19 vaccine;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r>
      <w:r w:rsidRPr="00CE69FA">
        <w:rPr>
          <w:rFonts w:eastAsia="Calibri" w:cs="Times New Roman"/>
          <w:color w:val="000000" w:themeColor="text1"/>
          <w:u w:color="000000"/>
        </w:rPr>
        <w:tab/>
        <w:t>(b)</w:t>
      </w:r>
      <w:r w:rsidRPr="00CE69FA">
        <w:rPr>
          <w:rFonts w:eastAsia="Calibri" w:cs="Times New Roman"/>
          <w:color w:val="000000" w:themeColor="text1"/>
          <w:u w:color="000000"/>
        </w:rPr>
        <w:tab/>
        <w:t>available vaccines must be administered to South Carolinians as rapidly as possible, to ensure that no doses are permitted to expire and to position South Carolina favorably in the event that any future federal allocations to states may be based in part upon a state</w:t>
      </w:r>
      <w:r>
        <w:rPr>
          <w:rFonts w:eastAsia="Calibri" w:cs="Times New Roman"/>
          <w:color w:val="000000" w:themeColor="text1"/>
          <w:u w:color="000000"/>
        </w:rPr>
        <w:t>’</w:t>
      </w:r>
      <w:r w:rsidRPr="00CE69FA">
        <w:rPr>
          <w:rFonts w:eastAsia="Calibri" w:cs="Times New Roman"/>
          <w:color w:val="000000" w:themeColor="text1"/>
          <w:u w:color="000000"/>
        </w:rPr>
        <w:t>s ability to expeditiously administer the vaccine;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r>
      <w:r w:rsidRPr="00CE69FA">
        <w:rPr>
          <w:rFonts w:eastAsia="Calibri" w:cs="Times New Roman"/>
          <w:color w:val="000000" w:themeColor="text1"/>
          <w:u w:color="000000"/>
        </w:rPr>
        <w:tab/>
        <w:t>(c)</w:t>
      </w:r>
      <w:r w:rsidRPr="00CE69FA">
        <w:rPr>
          <w:rFonts w:eastAsia="Calibri" w:cs="Times New Roman"/>
          <w:color w:val="000000" w:themeColor="text1"/>
          <w:u w:color="000000"/>
        </w:rPr>
        <w:tab/>
        <w:t>which providers are best equipped to handle specific manufacturers</w:t>
      </w:r>
      <w:r>
        <w:rPr>
          <w:rFonts w:eastAsia="Calibri" w:cs="Times New Roman"/>
          <w:color w:val="000000" w:themeColor="text1"/>
          <w:u w:color="000000"/>
        </w:rPr>
        <w:t>’</w:t>
      </w:r>
      <w:r w:rsidRPr="00CE69FA">
        <w:rPr>
          <w:rFonts w:eastAsia="Calibri" w:cs="Times New Roman"/>
          <w:color w:val="000000" w:themeColor="text1"/>
          <w:u w:color="000000"/>
        </w:rPr>
        <w:t xml:space="preserve"> forms of the vaccine, such as those requiring ultra</w:t>
      </w:r>
      <w:r>
        <w:rPr>
          <w:rFonts w:eastAsia="Calibri" w:cs="Times New Roman"/>
          <w:color w:val="000000" w:themeColor="text1"/>
          <w:u w:color="000000"/>
        </w:rPr>
        <w:noBreakHyphen/>
      </w:r>
      <w:r w:rsidRPr="00CE69FA">
        <w:rPr>
          <w:rFonts w:eastAsia="Calibri" w:cs="Times New Roman"/>
          <w:color w:val="000000" w:themeColor="text1"/>
          <w:u w:color="000000"/>
        </w:rPr>
        <w:t>cold storage; and</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r>
      <w:r w:rsidRPr="00CE69FA">
        <w:rPr>
          <w:rFonts w:eastAsia="Calibri" w:cs="Times New Roman"/>
          <w:color w:val="000000" w:themeColor="text1"/>
          <w:u w:color="000000"/>
        </w:rPr>
        <w:tab/>
        <w:t>(d)</w:t>
      </w:r>
      <w:r w:rsidRPr="00CE69FA">
        <w:rPr>
          <w:rFonts w:eastAsia="Calibri" w:cs="Times New Roman"/>
          <w:color w:val="000000" w:themeColor="text1"/>
          <w:u w:color="000000"/>
        </w:rPr>
        <w:tab/>
        <w:t>the most current and comprehensive data available concerning how vaccines have already been administered within each region, including how the vaccination rate varies by geography, race, age, income, or other relevant factors.</w:t>
      </w:r>
    </w:p>
    <w:p w:rsidR="00EA3351"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t>(C)</w:t>
      </w:r>
      <w:r w:rsidRPr="00CE69FA">
        <w:rPr>
          <w:rFonts w:eastAsia="Calibri" w:cs="Times New Roman"/>
          <w:color w:val="000000" w:themeColor="text1"/>
          <w:u w:color="000000"/>
        </w:rPr>
        <w:tab/>
        <w:t>Notwithstanding any other provisions of this joint resolution, DHEC may retain up to five percent of each weekly dose allocation in inventory to maximize its ability to quickly and efficiently respond to changes in need throughout the week.</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cs="Times New Roman"/>
          <w:color w:val="000000" w:themeColor="text1"/>
        </w:rPr>
        <w:t>B.</w:t>
      </w:r>
      <w:r>
        <w:rPr>
          <w:rFonts w:cs="Times New Roman"/>
          <w:color w:val="000000" w:themeColor="text1"/>
        </w:rPr>
        <w:t xml:space="preserve"> </w:t>
      </w:r>
      <w:r>
        <w:rPr>
          <w:rFonts w:cs="Times New Roman"/>
          <w:color w:val="000000" w:themeColor="text1"/>
        </w:rPr>
        <w:tab/>
      </w:r>
      <w:r w:rsidRPr="00CE69FA">
        <w:rPr>
          <w:rFonts w:eastAsia="Calibri" w:cs="Times New Roman"/>
          <w:color w:val="000000" w:themeColor="text1"/>
          <w:u w:color="000000"/>
        </w:rPr>
        <w:t>This SECTION terminates and is no longer effective when the Director of the Department of Health and Environmental Control determines that the demands for the vaccine no longer exceed the supply of the vaccine.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Pr>
          <w:rFonts w:eastAsia="Calibri" w:cs="Times New Roman"/>
          <w:color w:val="000000" w:themeColor="text1"/>
          <w:u w:color="000000"/>
        </w:rPr>
        <w:t>SECTION</w:t>
      </w:r>
      <w:r>
        <w:rPr>
          <w:rFonts w:eastAsia="Calibri" w:cs="Times New Roman"/>
          <w:color w:val="000000" w:themeColor="text1"/>
          <w:u w:color="000000"/>
        </w:rPr>
        <w:tab/>
        <w:t xml:space="preserve">6. </w:t>
      </w:r>
      <w:r>
        <w:rPr>
          <w:rFonts w:eastAsia="Calibri" w:cs="Times New Roman"/>
          <w:color w:val="000000" w:themeColor="text1"/>
          <w:u w:color="000000"/>
        </w:rPr>
        <w:tab/>
      </w:r>
      <w:r w:rsidRPr="00CE69FA">
        <w:rPr>
          <w:rFonts w:eastAsia="Calibri" w:cs="Times New Roman"/>
          <w:color w:val="000000" w:themeColor="text1"/>
          <w:u w:color="000000"/>
        </w:rPr>
        <w:t>A</w:t>
      </w:r>
      <w:r>
        <w:rPr>
          <w:rFonts w:eastAsia="Calibri" w:cs="Times New Roman"/>
          <w:color w:val="000000" w:themeColor="text1"/>
          <w:u w:color="000000"/>
        </w:rPr>
        <w:t xml:space="preserve">. </w:t>
      </w:r>
      <w:r>
        <w:rPr>
          <w:rFonts w:eastAsia="Calibri" w:cs="Times New Roman"/>
          <w:color w:val="000000" w:themeColor="text1"/>
          <w:u w:color="000000"/>
        </w:rPr>
        <w:tab/>
      </w:r>
      <w:r w:rsidRPr="00CE69FA">
        <w:rPr>
          <w:rFonts w:eastAsia="Calibri" w:cs="Times New Roman"/>
          <w:color w:val="000000" w:themeColor="text1"/>
          <w:u w:color="000000"/>
        </w:rPr>
        <w:t>(A)</w:t>
      </w:r>
      <w:r w:rsidRPr="00CE69FA">
        <w:rPr>
          <w:rFonts w:eastAsia="Calibri" w:cs="Times New Roman"/>
          <w:color w:val="000000" w:themeColor="text1"/>
          <w:u w:color="000000"/>
        </w:rPr>
        <w:tab/>
        <w:t>Beginning fourteen days after the effective date of this joint resolution, the Department of Health and Environmental Control shall provide a daily report, detailing:</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t>(1)</w:t>
      </w:r>
      <w:r w:rsidRPr="00CE69FA">
        <w:rPr>
          <w:rFonts w:eastAsia="Calibri" w:cs="Times New Roman"/>
          <w:color w:val="000000" w:themeColor="text1"/>
          <w:u w:color="000000"/>
        </w:rPr>
        <w:tab/>
        <w:t>the total number of COVID</w:t>
      </w:r>
      <w:r>
        <w:rPr>
          <w:rFonts w:eastAsia="Calibri" w:cs="Times New Roman"/>
          <w:color w:val="000000" w:themeColor="text1"/>
          <w:u w:color="000000"/>
        </w:rPr>
        <w:noBreakHyphen/>
      </w:r>
      <w:r w:rsidRPr="00CE69FA">
        <w:rPr>
          <w:rFonts w:eastAsia="Calibri" w:cs="Times New Roman"/>
          <w:color w:val="000000" w:themeColor="text1"/>
          <w:u w:color="000000"/>
        </w:rPr>
        <w:t>19 vaccine doses in inventory as of that day;</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t>(2)</w:t>
      </w:r>
      <w:r w:rsidRPr="00CE69FA">
        <w:rPr>
          <w:rFonts w:eastAsia="Calibri" w:cs="Times New Roman"/>
          <w:color w:val="000000" w:themeColor="text1"/>
          <w:u w:color="000000"/>
        </w:rPr>
        <w:tab/>
        <w:t>the total number of COVID</w:t>
      </w:r>
      <w:r>
        <w:rPr>
          <w:rFonts w:eastAsia="Calibri" w:cs="Times New Roman"/>
          <w:color w:val="000000" w:themeColor="text1"/>
          <w:u w:color="000000"/>
        </w:rPr>
        <w:noBreakHyphen/>
      </w:r>
      <w:r w:rsidRPr="00CE69FA">
        <w:rPr>
          <w:rFonts w:eastAsia="Calibri" w:cs="Times New Roman"/>
          <w:color w:val="000000" w:themeColor="text1"/>
          <w:u w:color="000000"/>
        </w:rPr>
        <w:t>19 vaccine doses received that day itemized by manufacturer;</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t>(3)</w:t>
      </w:r>
      <w:r w:rsidRPr="00CE69FA">
        <w:rPr>
          <w:rFonts w:eastAsia="Calibri" w:cs="Times New Roman"/>
          <w:color w:val="000000" w:themeColor="text1"/>
          <w:u w:color="000000"/>
        </w:rPr>
        <w:tab/>
        <w:t>the total number of COVID</w:t>
      </w:r>
      <w:r>
        <w:rPr>
          <w:rFonts w:eastAsia="Calibri" w:cs="Times New Roman"/>
          <w:color w:val="000000" w:themeColor="text1"/>
          <w:u w:color="000000"/>
        </w:rPr>
        <w:noBreakHyphen/>
      </w:r>
      <w:r w:rsidRPr="00CE69FA">
        <w:rPr>
          <w:rFonts w:eastAsia="Calibri" w:cs="Times New Roman"/>
          <w:color w:val="000000" w:themeColor="text1"/>
          <w:u w:color="000000"/>
        </w:rPr>
        <w:t>19 vaccine doses that the State is presently eligible to receive but has not yet drawn, itemized by manufacturer;</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t>(4)</w:t>
      </w:r>
      <w:r w:rsidRPr="00CE69FA">
        <w:rPr>
          <w:rFonts w:eastAsia="Calibri" w:cs="Times New Roman"/>
          <w:color w:val="000000" w:themeColor="text1"/>
          <w:u w:color="000000"/>
        </w:rPr>
        <w:tab/>
        <w:t>the total number of COVID</w:t>
      </w:r>
      <w:r>
        <w:rPr>
          <w:rFonts w:eastAsia="Calibri" w:cs="Times New Roman"/>
          <w:color w:val="000000" w:themeColor="text1"/>
          <w:u w:color="000000"/>
        </w:rPr>
        <w:noBreakHyphen/>
      </w:r>
      <w:r w:rsidRPr="00CE69FA">
        <w:rPr>
          <w:rFonts w:eastAsia="Calibri" w:cs="Times New Roman"/>
          <w:color w:val="000000" w:themeColor="text1"/>
          <w:u w:color="000000"/>
        </w:rPr>
        <w:t>19 vaccine doses in inventory as of that day that are intended to be administered as a first dose and the number that are intended to be administered as a second dose; and</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lastRenderedPageBreak/>
        <w:tab/>
      </w:r>
      <w:r w:rsidRPr="00CE69FA">
        <w:rPr>
          <w:rFonts w:eastAsia="Calibri" w:cs="Times New Roman"/>
          <w:color w:val="000000" w:themeColor="text1"/>
          <w:u w:color="000000"/>
        </w:rPr>
        <w:tab/>
        <w:t>(5)</w:t>
      </w:r>
      <w:r w:rsidRPr="00CE69FA">
        <w:rPr>
          <w:rFonts w:eastAsia="Calibri" w:cs="Times New Roman"/>
          <w:color w:val="000000" w:themeColor="text1"/>
          <w:u w:color="000000"/>
        </w:rPr>
        <w:tab/>
        <w:t>the total number of COVID</w:t>
      </w:r>
      <w:r>
        <w:rPr>
          <w:rFonts w:eastAsia="Calibri" w:cs="Times New Roman"/>
          <w:color w:val="000000" w:themeColor="text1"/>
          <w:u w:color="000000"/>
        </w:rPr>
        <w:noBreakHyphen/>
      </w:r>
      <w:r w:rsidRPr="00CE69FA">
        <w:rPr>
          <w:rFonts w:eastAsia="Calibri" w:cs="Times New Roman"/>
          <w:color w:val="000000" w:themeColor="text1"/>
          <w:u w:color="000000"/>
        </w:rPr>
        <w:t>19 vaccine doses that are distributed or redistributed to each administering entity that day, itemized by manufacturer.</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t>The daily report also shall provide a cumulative report detailing the same.</w:t>
      </w:r>
      <w:r>
        <w:rPr>
          <w:rFonts w:eastAsia="Calibri" w:cs="Times New Roman"/>
          <w:color w:val="000000" w:themeColor="text1"/>
          <w:u w:color="000000"/>
        </w:rPr>
        <w:t xml:space="preserve"> </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t>(B)</w:t>
      </w:r>
      <w:r w:rsidRPr="00CE69FA">
        <w:rPr>
          <w:rFonts w:eastAsia="Calibri" w:cs="Times New Roman"/>
          <w:color w:val="000000" w:themeColor="text1"/>
          <w:u w:color="000000"/>
        </w:rPr>
        <w:tab/>
        <w:t>DHEC also shall tabulate the reports required by subsection (C), and include in the daily report required by subsection (A), the cumulative total of vaccines administered.  The cumulative totals of vaccines administered also must be shown, numerically and graphically, as a percentage of the State as a whole, and demonstrate how many more vaccines must be given until the next category of individuals are eligible for the vaccine.  The cumulative totals of vaccines administered also must be shown, numerically and graphically, by the zip code of the patient.</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t>(C)</w:t>
      </w:r>
      <w:r w:rsidRPr="00CE69FA">
        <w:rPr>
          <w:rFonts w:eastAsia="Calibri" w:cs="Times New Roman"/>
          <w:color w:val="000000" w:themeColor="text1"/>
          <w:u w:color="000000"/>
        </w:rPr>
        <w:tab/>
        <w:t>Each administering entity shall provide a daily report to the Department of Health and Environmental Control detailing:</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t>(1)</w:t>
      </w:r>
      <w:r w:rsidRPr="00CE69FA">
        <w:rPr>
          <w:rFonts w:eastAsia="Calibri" w:cs="Times New Roman"/>
          <w:color w:val="000000" w:themeColor="text1"/>
          <w:u w:color="000000"/>
        </w:rPr>
        <w:tab/>
        <w:t>the total number of COVID</w:t>
      </w:r>
      <w:r>
        <w:rPr>
          <w:rFonts w:eastAsia="Calibri" w:cs="Times New Roman"/>
          <w:color w:val="000000" w:themeColor="text1"/>
          <w:u w:color="000000"/>
        </w:rPr>
        <w:noBreakHyphen/>
      </w:r>
      <w:r w:rsidRPr="00CE69FA">
        <w:rPr>
          <w:rFonts w:eastAsia="Calibri" w:cs="Times New Roman"/>
          <w:color w:val="000000" w:themeColor="text1"/>
          <w:u w:color="000000"/>
        </w:rPr>
        <w:t>19 vaccine doses in inventory as of that day, itemized by manufacturer;</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t>(2)</w:t>
      </w:r>
      <w:r w:rsidRPr="00CE69FA">
        <w:rPr>
          <w:rFonts w:eastAsia="Calibri" w:cs="Times New Roman"/>
          <w:color w:val="000000" w:themeColor="text1"/>
          <w:u w:color="000000"/>
        </w:rPr>
        <w:tab/>
        <w:t>the total number of COVID</w:t>
      </w:r>
      <w:r>
        <w:rPr>
          <w:rFonts w:eastAsia="Calibri" w:cs="Times New Roman"/>
          <w:color w:val="000000" w:themeColor="text1"/>
          <w:u w:color="000000"/>
        </w:rPr>
        <w:noBreakHyphen/>
      </w:r>
      <w:r w:rsidRPr="00CE69FA">
        <w:rPr>
          <w:rFonts w:eastAsia="Calibri" w:cs="Times New Roman"/>
          <w:color w:val="000000" w:themeColor="text1"/>
          <w:u w:color="000000"/>
        </w:rPr>
        <w:t>19 vaccines administered that day;</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t>(3)</w:t>
      </w:r>
      <w:r w:rsidRPr="00CE69FA">
        <w:rPr>
          <w:rFonts w:eastAsia="Calibri" w:cs="Times New Roman"/>
          <w:color w:val="000000" w:themeColor="text1"/>
          <w:u w:color="000000"/>
        </w:rPr>
        <w:tab/>
        <w:t>the total number of upcoming appointments for a COVID</w:t>
      </w:r>
      <w:r>
        <w:rPr>
          <w:rFonts w:eastAsia="Calibri" w:cs="Times New Roman"/>
          <w:color w:val="000000" w:themeColor="text1"/>
          <w:u w:color="000000"/>
        </w:rPr>
        <w:noBreakHyphen/>
      </w:r>
      <w:r w:rsidRPr="00CE69FA">
        <w:rPr>
          <w:rFonts w:eastAsia="Calibri" w:cs="Times New Roman"/>
          <w:color w:val="000000" w:themeColor="text1"/>
          <w:u w:color="000000"/>
        </w:rPr>
        <w:t>19 vaccine scheduled as of that day; and</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r>
      <w:r w:rsidRPr="00CE69FA">
        <w:rPr>
          <w:rFonts w:eastAsia="Calibri" w:cs="Times New Roman"/>
          <w:color w:val="000000" w:themeColor="text1"/>
          <w:u w:color="000000"/>
        </w:rPr>
        <w:tab/>
        <w:t>(4)</w:t>
      </w:r>
      <w:r w:rsidRPr="00CE69FA">
        <w:rPr>
          <w:rFonts w:eastAsia="Calibri" w:cs="Times New Roman"/>
          <w:color w:val="000000" w:themeColor="text1"/>
          <w:u w:color="000000"/>
        </w:rPr>
        <w:tab/>
        <w:t>the total number of COVID</w:t>
      </w:r>
      <w:r>
        <w:rPr>
          <w:rFonts w:eastAsia="Calibri" w:cs="Times New Roman"/>
          <w:color w:val="000000" w:themeColor="text1"/>
          <w:u w:color="000000"/>
        </w:rPr>
        <w:noBreakHyphen/>
      </w:r>
      <w:r w:rsidRPr="00CE69FA">
        <w:rPr>
          <w:rFonts w:eastAsia="Calibri" w:cs="Times New Roman"/>
          <w:color w:val="000000" w:themeColor="text1"/>
          <w:u w:color="000000"/>
        </w:rPr>
        <w:t>19 vaccines administered that day as a first dose and the number administered that day as a second dose, if applicable.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t>The daily report also shall provide a cumulative report for the entity detailing the same.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t>An administering entity may satisfy the reporting requirements of this subsection, subject to DHEC approval, if it makes such information available through the Vaccine Administration Management System or another existing reporting mechanism approved by DHEC.</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t>(D)</w:t>
      </w:r>
      <w:r w:rsidRPr="00CE69FA">
        <w:rPr>
          <w:rFonts w:eastAsia="Calibri" w:cs="Times New Roman"/>
          <w:color w:val="000000" w:themeColor="text1"/>
          <w:u w:color="000000"/>
        </w:rPr>
        <w:tab/>
        <w:t>Each administering entity also must establish a tracking process to ensure that individuals either receive their first and second dose from the same entity or receive information necessary for obtaining their second dose from another entity.</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r w:rsidRPr="00CE69FA">
        <w:rPr>
          <w:rFonts w:eastAsia="Calibri" w:cs="Times New Roman"/>
          <w:color w:val="000000" w:themeColor="text1"/>
          <w:u w:color="000000"/>
        </w:rPr>
        <w:tab/>
        <w:t>(E)</w:t>
      </w:r>
      <w:r w:rsidRPr="00CE69FA">
        <w:rPr>
          <w:rFonts w:eastAsia="Calibri" w:cs="Times New Roman"/>
          <w:color w:val="000000" w:themeColor="text1"/>
          <w:u w:color="000000"/>
        </w:rPr>
        <w:tab/>
        <w:t>The reports required by this section must be posted daily on the department</w:t>
      </w:r>
      <w:r>
        <w:rPr>
          <w:rFonts w:eastAsia="Calibri" w:cs="Times New Roman"/>
          <w:color w:val="000000" w:themeColor="text1"/>
          <w:u w:color="000000"/>
        </w:rPr>
        <w:t>’</w:t>
      </w:r>
      <w:r w:rsidRPr="00CE69FA">
        <w:rPr>
          <w:rFonts w:eastAsia="Calibri" w:cs="Times New Roman"/>
          <w:color w:val="000000" w:themeColor="text1"/>
          <w:u w:color="000000"/>
        </w:rPr>
        <w:t>s website.</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themeColor="text1"/>
          <w:u w:color="000000"/>
        </w:rPr>
      </w:pP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Calibri" w:cs="Times New Roman"/>
          <w:color w:val="000000" w:themeColor="text1"/>
          <w:u w:color="000000"/>
        </w:rPr>
        <w:t xml:space="preserve">B. </w:t>
      </w:r>
      <w:r>
        <w:rPr>
          <w:rFonts w:eastAsia="Calibri" w:cs="Times New Roman"/>
          <w:color w:val="000000" w:themeColor="text1"/>
          <w:u w:color="000000"/>
        </w:rPr>
        <w:tab/>
      </w:r>
      <w:r w:rsidRPr="00CE69FA">
        <w:rPr>
          <w:rFonts w:eastAsia="Calibri" w:cs="Times New Roman"/>
          <w:color w:val="000000" w:themeColor="text1"/>
          <w:u w:color="000000"/>
        </w:rPr>
        <w:t>This SECTION terminates and is no longer effective when South Carolina is no longer under a declared public health emergency concerning COVID</w:t>
      </w:r>
      <w:r>
        <w:rPr>
          <w:rFonts w:eastAsia="Calibri" w:cs="Times New Roman"/>
          <w:color w:val="000000" w:themeColor="text1"/>
          <w:u w:color="000000"/>
        </w:rPr>
        <w:noBreakHyphen/>
      </w:r>
      <w:r w:rsidRPr="00CE69FA">
        <w:rPr>
          <w:rFonts w:eastAsia="Calibri" w:cs="Times New Roman"/>
          <w:color w:val="000000" w:themeColor="text1"/>
          <w:u w:color="000000"/>
        </w:rPr>
        <w:t>19.</w:t>
      </w: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A3351" w:rsidRPr="00CE69FA"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69FA">
        <w:rPr>
          <w:rFonts w:cs="Times New Roman"/>
          <w:color w:val="000000" w:themeColor="text1"/>
          <w:u w:color="000000" w:themeColor="text1"/>
        </w:rPr>
        <w:t>SECTION</w:t>
      </w:r>
      <w:r w:rsidRPr="00CE69FA">
        <w:rPr>
          <w:rFonts w:cs="Times New Roman"/>
          <w:color w:val="000000" w:themeColor="text1"/>
          <w:u w:color="000000" w:themeColor="text1"/>
        </w:rPr>
        <w:tab/>
        <w:t>7.</w:t>
      </w:r>
      <w:r w:rsidRPr="00CE69FA">
        <w:rPr>
          <w:rFonts w:cs="Times New Roman"/>
          <w:color w:val="000000" w:themeColor="text1"/>
          <w:u w:color="000000" w:themeColor="text1"/>
        </w:rPr>
        <w:tab/>
        <w:t>This joint resolution takes effect upon approval by the Governor.</w:t>
      </w:r>
    </w:p>
    <w:p w:rsidR="00EA3351"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A3351" w:rsidRDefault="00EA3351"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2021.</w:t>
      </w:r>
    </w:p>
    <w:p w:rsidR="00EA3351" w:rsidRDefault="00EA3351" w:rsidP="00EA3351">
      <w:pPr>
        <w:jc w:val="both"/>
        <w:rPr>
          <w:color w:val="000000" w:themeColor="text1"/>
        </w:rPr>
      </w:pPr>
    </w:p>
    <w:p w:rsidR="00EA3351" w:rsidRDefault="00EA3351" w:rsidP="00EA3351">
      <w:pPr>
        <w:jc w:val="both"/>
        <w:rPr>
          <w:color w:val="000000" w:themeColor="text1"/>
        </w:rPr>
      </w:pPr>
      <w:r>
        <w:rPr>
          <w:color w:val="000000" w:themeColor="text1"/>
        </w:rPr>
        <w:t>Approved the 19</w:t>
      </w:r>
      <w:r w:rsidRPr="0014058C">
        <w:rPr>
          <w:color w:val="000000" w:themeColor="text1"/>
          <w:vertAlign w:val="superscript"/>
        </w:rPr>
        <w:t>th</w:t>
      </w:r>
      <w:r>
        <w:rPr>
          <w:color w:val="000000" w:themeColor="text1"/>
        </w:rPr>
        <w:t xml:space="preserve"> day of February, 2021. </w:t>
      </w:r>
    </w:p>
    <w:p w:rsidR="00EA3351" w:rsidRDefault="00EA3351" w:rsidP="00EA3351">
      <w:pPr>
        <w:jc w:val="center"/>
        <w:rPr>
          <w:color w:val="000000" w:themeColor="text1"/>
        </w:rPr>
      </w:pPr>
    </w:p>
    <w:p w:rsidR="00EA3351" w:rsidRDefault="00EA3351" w:rsidP="00EA3351">
      <w:pPr>
        <w:jc w:val="center"/>
        <w:rPr>
          <w:color w:val="000000" w:themeColor="text1"/>
        </w:rPr>
      </w:pPr>
      <w:r>
        <w:rPr>
          <w:color w:val="000000" w:themeColor="text1"/>
        </w:rPr>
        <w:t>__________</w:t>
      </w:r>
    </w:p>
    <w:p w:rsidR="00E069B5" w:rsidRPr="009C0A8B" w:rsidRDefault="00E069B5" w:rsidP="00EA3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069B5" w:rsidRPr="009C0A8B" w:rsidSect="00E069B5">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8C6" w:rsidRDefault="00CF58C6" w:rsidP="007D5FAC">
      <w:r>
        <w:separator/>
      </w:r>
    </w:p>
  </w:endnote>
  <w:endnote w:type="continuationSeparator" w:id="0">
    <w:p w:rsidR="00CF58C6" w:rsidRDefault="00CF58C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9B5" w:rsidRPr="00E069B5" w:rsidRDefault="00E069B5" w:rsidP="00E069B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F4E51">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9B5" w:rsidRDefault="00E06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8C6" w:rsidRDefault="00CF58C6" w:rsidP="007D5FAC">
      <w:r>
        <w:separator/>
      </w:r>
    </w:p>
  </w:footnote>
  <w:footnote w:type="continuationSeparator" w:id="0">
    <w:p w:rsidR="00CF58C6" w:rsidRDefault="00CF58C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707"/>
    <w:docVar w:name="ActSecretary" w:val="Huth"/>
    <w:docVar w:name="ActSIdno" w:val="(004)  3707DG21"/>
    <w:docVar w:name="clipname" w:val="3707DG21"/>
    <w:docVar w:name="dvBillNumber" w:val="3707"/>
    <w:docVar w:name="dvBillNumberPrefix" w:val="H"/>
    <w:docVar w:name="dvOriginalBody" w:val="House"/>
    <w:docVar w:name="HOUSEACTFULLPATH" w:val="L:\COUNCIL\ACTS\3707DG21.DOCX"/>
    <w:docVar w:name="OrigHOUSEBillNo" w:val="3707"/>
    <w:docVar w:name="WhatActtype" w:val="A JOINT RESOLUTION"/>
  </w:docVars>
  <w:rsids>
    <w:rsidRoot w:val="00CF58C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2B9D"/>
    <w:rsid w:val="000B316D"/>
    <w:rsid w:val="000B56CB"/>
    <w:rsid w:val="000D69B6"/>
    <w:rsid w:val="000D6F51"/>
    <w:rsid w:val="000F4E51"/>
    <w:rsid w:val="001030FE"/>
    <w:rsid w:val="001031AE"/>
    <w:rsid w:val="00103295"/>
    <w:rsid w:val="00103D2E"/>
    <w:rsid w:val="00104519"/>
    <w:rsid w:val="00106968"/>
    <w:rsid w:val="00114917"/>
    <w:rsid w:val="001237B9"/>
    <w:rsid w:val="00131CE5"/>
    <w:rsid w:val="00135DDF"/>
    <w:rsid w:val="00136AA0"/>
    <w:rsid w:val="00141278"/>
    <w:rsid w:val="0014525A"/>
    <w:rsid w:val="001509B2"/>
    <w:rsid w:val="001626DB"/>
    <w:rsid w:val="00164D89"/>
    <w:rsid w:val="00170F30"/>
    <w:rsid w:val="00172771"/>
    <w:rsid w:val="001747A9"/>
    <w:rsid w:val="001750EA"/>
    <w:rsid w:val="001754BB"/>
    <w:rsid w:val="00180808"/>
    <w:rsid w:val="0018353C"/>
    <w:rsid w:val="00195F4E"/>
    <w:rsid w:val="001A646B"/>
    <w:rsid w:val="001A75A0"/>
    <w:rsid w:val="001B201B"/>
    <w:rsid w:val="001B65B6"/>
    <w:rsid w:val="001B78F9"/>
    <w:rsid w:val="001B7FF5"/>
    <w:rsid w:val="001C2DCE"/>
    <w:rsid w:val="001C390F"/>
    <w:rsid w:val="001C603D"/>
    <w:rsid w:val="001C6957"/>
    <w:rsid w:val="001D00BE"/>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05DF8"/>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5C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0EA"/>
    <w:rsid w:val="004A5193"/>
    <w:rsid w:val="004A76F3"/>
    <w:rsid w:val="004B1DA6"/>
    <w:rsid w:val="004B27E8"/>
    <w:rsid w:val="004B3536"/>
    <w:rsid w:val="004B402A"/>
    <w:rsid w:val="004B41E5"/>
    <w:rsid w:val="004B6CD6"/>
    <w:rsid w:val="004C0A66"/>
    <w:rsid w:val="004C115D"/>
    <w:rsid w:val="004C190F"/>
    <w:rsid w:val="004D29AD"/>
    <w:rsid w:val="004D3F7E"/>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6837"/>
    <w:rsid w:val="0054323B"/>
    <w:rsid w:val="005453B5"/>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6342"/>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5D15"/>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26E"/>
    <w:rsid w:val="008836A5"/>
    <w:rsid w:val="00892AF7"/>
    <w:rsid w:val="0089468D"/>
    <w:rsid w:val="008B2051"/>
    <w:rsid w:val="008B347C"/>
    <w:rsid w:val="008B48BD"/>
    <w:rsid w:val="008C19AF"/>
    <w:rsid w:val="008C325E"/>
    <w:rsid w:val="008E03BA"/>
    <w:rsid w:val="008E5FD7"/>
    <w:rsid w:val="008F4CA1"/>
    <w:rsid w:val="008F510F"/>
    <w:rsid w:val="008F5F0A"/>
    <w:rsid w:val="008F7D5B"/>
    <w:rsid w:val="00900319"/>
    <w:rsid w:val="00902186"/>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0A8B"/>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07A"/>
    <w:rsid w:val="00AD33E6"/>
    <w:rsid w:val="00AD4887"/>
    <w:rsid w:val="00AE4533"/>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D5A"/>
    <w:rsid w:val="00C74E9D"/>
    <w:rsid w:val="00C81812"/>
    <w:rsid w:val="00C837F6"/>
    <w:rsid w:val="00C92B7D"/>
    <w:rsid w:val="00C94E59"/>
    <w:rsid w:val="00C97CB8"/>
    <w:rsid w:val="00CA4CD7"/>
    <w:rsid w:val="00CA5358"/>
    <w:rsid w:val="00CA7497"/>
    <w:rsid w:val="00CB08A1"/>
    <w:rsid w:val="00CB12FE"/>
    <w:rsid w:val="00CB229A"/>
    <w:rsid w:val="00CC2825"/>
    <w:rsid w:val="00CE13B0"/>
    <w:rsid w:val="00CE1407"/>
    <w:rsid w:val="00CE54EA"/>
    <w:rsid w:val="00CE5B85"/>
    <w:rsid w:val="00CE62ED"/>
    <w:rsid w:val="00CF5814"/>
    <w:rsid w:val="00CF58C6"/>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6A05"/>
    <w:rsid w:val="00D474CA"/>
    <w:rsid w:val="00D50FB9"/>
    <w:rsid w:val="00D56467"/>
    <w:rsid w:val="00D60ED7"/>
    <w:rsid w:val="00D63A0D"/>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9B5"/>
    <w:rsid w:val="00E06B5E"/>
    <w:rsid w:val="00E076BB"/>
    <w:rsid w:val="00E140B1"/>
    <w:rsid w:val="00E14905"/>
    <w:rsid w:val="00E33964"/>
    <w:rsid w:val="00E33DFF"/>
    <w:rsid w:val="00E3462F"/>
    <w:rsid w:val="00E36231"/>
    <w:rsid w:val="00E3783A"/>
    <w:rsid w:val="00E500F1"/>
    <w:rsid w:val="00E5358E"/>
    <w:rsid w:val="00E60357"/>
    <w:rsid w:val="00E61B4C"/>
    <w:rsid w:val="00E71D4E"/>
    <w:rsid w:val="00E757F4"/>
    <w:rsid w:val="00E9303D"/>
    <w:rsid w:val="00EA2A3A"/>
    <w:rsid w:val="00EA3351"/>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5F3B"/>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2582"/>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1BBFDC5-2BD6-4E1C-A5B4-5A9C3CDA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069B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semiHidden/>
    <w:unhideWhenUsed/>
    <w:rsid w:val="00AE4533"/>
    <w:rPr>
      <w:rFonts w:cs="Times New Roman"/>
      <w:sz w:val="24"/>
      <w:szCs w:val="24"/>
    </w:rPr>
  </w:style>
  <w:style w:type="paragraph" w:styleId="BalloonText">
    <w:name w:val="Balloon Text"/>
    <w:basedOn w:val="Normal"/>
    <w:link w:val="BalloonTextChar"/>
    <w:uiPriority w:val="99"/>
    <w:semiHidden/>
    <w:unhideWhenUsed/>
    <w:rsid w:val="004B6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CD6"/>
    <w:rPr>
      <w:rFonts w:ascii="Segoe UI" w:hAnsi="Segoe UI" w:cs="Segoe UI"/>
      <w:sz w:val="18"/>
      <w:szCs w:val="18"/>
    </w:rPr>
  </w:style>
  <w:style w:type="table" w:styleId="TableGrid">
    <w:name w:val="Table Grid"/>
    <w:basedOn w:val="TableNormal"/>
    <w:uiPriority w:val="59"/>
    <w:rsid w:val="001509B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069B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368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27.docx" TargetMode="External"/><Relationship Id="rId13" Type="http://schemas.openxmlformats.org/officeDocument/2006/relationships/hyperlink" Target="file:///h:\sj\20210203.docx" TargetMode="External"/><Relationship Id="rId18" Type="http://schemas.openxmlformats.org/officeDocument/2006/relationships/hyperlink" Target="file:///h:\sj\20210210.docx" TargetMode="External"/><Relationship Id="rId26" Type="http://schemas.openxmlformats.org/officeDocument/2006/relationships/hyperlink" Target="file:///p:\pprever\2021-22\3707_20210126A.docx" TargetMode="External"/><Relationship Id="rId3" Type="http://schemas.openxmlformats.org/officeDocument/2006/relationships/settings" Target="settings.xml"/><Relationship Id="rId21" Type="http://schemas.openxmlformats.org/officeDocument/2006/relationships/hyperlink" Target="file:///h:\hj\20210216.docx" TargetMode="External"/><Relationship Id="rId34" Type="http://schemas.openxmlformats.org/officeDocument/2006/relationships/footer" Target="footer1.xml"/><Relationship Id="rId7" Type="http://schemas.openxmlformats.org/officeDocument/2006/relationships/hyperlink" Target="file:///h:\hj\20210126.docx" TargetMode="External"/><Relationship Id="rId12" Type="http://schemas.openxmlformats.org/officeDocument/2006/relationships/hyperlink" Target="file:///h:\sj\20210128.docx" TargetMode="External"/><Relationship Id="rId17" Type="http://schemas.openxmlformats.org/officeDocument/2006/relationships/hyperlink" Target="file:///h:\sj\20210210.docx" TargetMode="External"/><Relationship Id="rId25" Type="http://schemas.openxmlformats.org/officeDocument/2006/relationships/hyperlink" Target="file:///p:\pprever\2021-22\3707_20210126.docx" TargetMode="External"/><Relationship Id="rId33" Type="http://schemas.openxmlformats.org/officeDocument/2006/relationships/hyperlink" Target="file:///p:\pprever\2021-22\3707_20210210.docx" TargetMode="External"/><Relationship Id="rId2" Type="http://schemas.openxmlformats.org/officeDocument/2006/relationships/styles" Target="styles.xml"/><Relationship Id="rId16" Type="http://schemas.openxmlformats.org/officeDocument/2006/relationships/hyperlink" Target="file:///h:\sj\20210209.docx" TargetMode="External"/><Relationship Id="rId20" Type="http://schemas.openxmlformats.org/officeDocument/2006/relationships/hyperlink" Target="file:///h:\hj\20210211.docx" TargetMode="External"/><Relationship Id="rId29" Type="http://schemas.openxmlformats.org/officeDocument/2006/relationships/hyperlink" Target="file:///p:\pprever\2021-22\3707_202101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128.docx" TargetMode="External"/><Relationship Id="rId24" Type="http://schemas.openxmlformats.org/officeDocument/2006/relationships/hyperlink" Target="http://www.scstatehouse.gov/billsearch.php?billnumbers=3707&amp;session=124&amp;summary=B" TargetMode="External"/><Relationship Id="rId32" Type="http://schemas.openxmlformats.org/officeDocument/2006/relationships/hyperlink" Target="file:///p:\pprever\2021-22\3707_20210209.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10209.docx" TargetMode="External"/><Relationship Id="rId23" Type="http://schemas.openxmlformats.org/officeDocument/2006/relationships/hyperlink" Target="file:///h:\hj\20210216.docx" TargetMode="External"/><Relationship Id="rId28" Type="http://schemas.openxmlformats.org/officeDocument/2006/relationships/hyperlink" Target="file:///p:\pprever\2021-22\3707_20210127A.docx" TargetMode="External"/><Relationship Id="rId36" Type="http://schemas.openxmlformats.org/officeDocument/2006/relationships/fontTable" Target="fontTable.xml"/><Relationship Id="rId10" Type="http://schemas.openxmlformats.org/officeDocument/2006/relationships/hyperlink" Target="file:///h:\hj\20210127.docx" TargetMode="External"/><Relationship Id="rId19" Type="http://schemas.openxmlformats.org/officeDocument/2006/relationships/hyperlink" Target="file:///h:\hj\20210211.docx" TargetMode="External"/><Relationship Id="rId31" Type="http://schemas.openxmlformats.org/officeDocument/2006/relationships/hyperlink" Target="file:///p:\pprever\2021-22\3707_20210204.docx" TargetMode="External"/><Relationship Id="rId4" Type="http://schemas.openxmlformats.org/officeDocument/2006/relationships/webSettings" Target="webSettings.xml"/><Relationship Id="rId9" Type="http://schemas.openxmlformats.org/officeDocument/2006/relationships/hyperlink" Target="file:///h:\hj\20210127.docx" TargetMode="External"/><Relationship Id="rId14" Type="http://schemas.openxmlformats.org/officeDocument/2006/relationships/hyperlink" Target="file:///h:\sj\20210204.docx" TargetMode="External"/><Relationship Id="rId22" Type="http://schemas.openxmlformats.org/officeDocument/2006/relationships/hyperlink" Target="file:///h:\hj\20210216.docx" TargetMode="External"/><Relationship Id="rId27" Type="http://schemas.openxmlformats.org/officeDocument/2006/relationships/hyperlink" Target="file:///p:\pprever\2021-22\3707_20210127.docx" TargetMode="External"/><Relationship Id="rId30" Type="http://schemas.openxmlformats.org/officeDocument/2006/relationships/hyperlink" Target="file:///p:\pprever\2021-22\3707_20210203.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6E46E-C5BA-449A-A06C-92497D17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3707: COVID-19 - South Carolina Legislature Online</dc:title>
  <dc:subject/>
  <dc:creator>Bonnie Huth</dc:creator>
  <cp:keywords/>
  <dc:description/>
  <cp:lastModifiedBy>Derrick Williamson</cp:lastModifiedBy>
  <cp:revision>2</cp:revision>
  <cp:lastPrinted>2021-02-16T20:44:00Z</cp:lastPrinted>
  <dcterms:created xsi:type="dcterms:W3CDTF">2021-03-30T16:58:00Z</dcterms:created>
  <dcterms:modified xsi:type="dcterms:W3CDTF">2021-03-30T16:58:00Z</dcterms:modified>
</cp:coreProperties>
</file>