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420" w:rsidRDefault="003B0420" w:rsidP="003B0420">
      <w:pPr>
        <w:widowControl w:val="0"/>
        <w:jc w:val="center"/>
      </w:pPr>
      <w:r w:rsidRPr="003B0420">
        <w:rPr>
          <w:b/>
        </w:rPr>
        <w:t>South Carolina General Assembly</w:t>
      </w:r>
    </w:p>
    <w:p w:rsidR="003B0420" w:rsidRDefault="003B0420" w:rsidP="003B0420">
      <w:pPr>
        <w:widowControl w:val="0"/>
        <w:jc w:val="center"/>
      </w:pPr>
      <w:r>
        <w:t>124th Session, 2021-2022</w:t>
      </w:r>
    </w:p>
    <w:p w:rsidR="003B0420" w:rsidRDefault="003B0420" w:rsidP="003B0420">
      <w:pPr>
        <w:widowControl w:val="0"/>
        <w:jc w:val="left"/>
      </w:pPr>
    </w:p>
    <w:p w:rsidR="003B0420" w:rsidRDefault="003B0420" w:rsidP="003B0420">
      <w:pPr>
        <w:widowControl w:val="0"/>
        <w:jc w:val="left"/>
        <w:rPr>
          <w:b/>
        </w:rPr>
      </w:pPr>
      <w:r w:rsidRPr="003B0420">
        <w:rPr>
          <w:b/>
        </w:rPr>
        <w:t>H. 3978</w:t>
      </w:r>
    </w:p>
    <w:p w:rsidR="003B0420" w:rsidRDefault="003B0420" w:rsidP="003B0420">
      <w:pPr>
        <w:widowControl w:val="0"/>
        <w:jc w:val="left"/>
        <w:rPr>
          <w:b/>
        </w:rPr>
      </w:pPr>
    </w:p>
    <w:p w:rsidR="003B0420" w:rsidRDefault="003B0420" w:rsidP="003B0420">
      <w:pPr>
        <w:widowControl w:val="0"/>
        <w:jc w:val="left"/>
      </w:pPr>
      <w:r w:rsidRPr="003B0420">
        <w:rPr>
          <w:b/>
        </w:rPr>
        <w:t>STATUS INFORMATION</w:t>
      </w:r>
    </w:p>
    <w:p w:rsidR="003B0420" w:rsidRDefault="003B0420" w:rsidP="003B0420">
      <w:pPr>
        <w:widowControl w:val="0"/>
        <w:jc w:val="left"/>
      </w:pPr>
    </w:p>
    <w:p w:rsidR="003B0420" w:rsidRDefault="003B0420" w:rsidP="003B0420">
      <w:pPr>
        <w:widowControl w:val="0"/>
        <w:jc w:val="left"/>
      </w:pPr>
      <w:r>
        <w:t>General Bill</w:t>
      </w:r>
    </w:p>
    <w:p w:rsidR="003B0420" w:rsidRDefault="008E543D" w:rsidP="003B0420">
      <w:pPr>
        <w:widowControl w:val="0"/>
        <w:jc w:val="left"/>
      </w:pPr>
      <w:r>
        <w:t>Sponsors: Reps. West, Pope, Crawford, McCravy, W. Cox, Herbkersman, Jordan, Lowe, G.M. Smith and Thayer</w:t>
      </w:r>
    </w:p>
    <w:p w:rsidR="003B0420" w:rsidRDefault="003B0420" w:rsidP="003B0420">
      <w:pPr>
        <w:widowControl w:val="0"/>
        <w:jc w:val="left"/>
      </w:pPr>
      <w:r>
        <w:t>Document Path: l:\council\bills\nbd\11191sa21.docx</w:t>
      </w:r>
    </w:p>
    <w:p w:rsidR="008C0E1C" w:rsidRDefault="008C0E1C" w:rsidP="003B0420">
      <w:pPr>
        <w:widowControl w:val="0"/>
        <w:jc w:val="left"/>
      </w:pPr>
      <w:r>
        <w:t>Companion/Similar bill(s): 627</w:t>
      </w:r>
    </w:p>
    <w:p w:rsidR="003B0420" w:rsidRDefault="003B0420" w:rsidP="003B0420">
      <w:pPr>
        <w:widowControl w:val="0"/>
        <w:jc w:val="left"/>
      </w:pPr>
    </w:p>
    <w:p w:rsidR="003B0420" w:rsidRDefault="003B0420" w:rsidP="003B0420">
      <w:pPr>
        <w:widowControl w:val="0"/>
        <w:jc w:val="left"/>
      </w:pPr>
      <w:r>
        <w:t>Introduced in the House on February 24, 2021</w:t>
      </w:r>
    </w:p>
    <w:p w:rsidR="003B0420" w:rsidRDefault="003B0420" w:rsidP="003B0420">
      <w:pPr>
        <w:widowControl w:val="0"/>
        <w:jc w:val="left"/>
      </w:pPr>
      <w:r>
        <w:t xml:space="preserve">Currently residing in the House Committee on </w:t>
      </w:r>
      <w:r w:rsidRPr="003B0420">
        <w:rPr>
          <w:b/>
        </w:rPr>
        <w:t>Ways and Means</w:t>
      </w:r>
    </w:p>
    <w:p w:rsidR="003B0420" w:rsidRDefault="003B0420" w:rsidP="003B0420">
      <w:pPr>
        <w:widowControl w:val="0"/>
        <w:jc w:val="left"/>
      </w:pPr>
    </w:p>
    <w:p w:rsidR="003B0420" w:rsidRDefault="003B0420" w:rsidP="003B0420">
      <w:pPr>
        <w:widowControl w:val="0"/>
        <w:jc w:val="left"/>
      </w:pPr>
      <w:r>
        <w:t>Summary: Pass through trade and business income</w:t>
      </w:r>
    </w:p>
    <w:p w:rsidR="003B0420" w:rsidRDefault="003B0420" w:rsidP="003B0420">
      <w:pPr>
        <w:widowControl w:val="0"/>
        <w:jc w:val="left"/>
      </w:pPr>
    </w:p>
    <w:p w:rsidR="003B0420" w:rsidRDefault="003B0420" w:rsidP="003B0420">
      <w:pPr>
        <w:widowControl w:val="0"/>
        <w:jc w:val="left"/>
      </w:pPr>
    </w:p>
    <w:p w:rsidR="003B0420" w:rsidRDefault="003B0420" w:rsidP="003B04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0420">
        <w:rPr>
          <w:b/>
        </w:rPr>
        <w:t>HISTORY OF LEGISLATIVE ACTIONS</w:t>
      </w:r>
    </w:p>
    <w:p w:rsidR="003B0420" w:rsidRDefault="003B0420" w:rsidP="003B04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0420" w:rsidRPr="003B0420" w:rsidRDefault="003B0420" w:rsidP="003B04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0420">
        <w:rPr>
          <w:u w:val="single"/>
        </w:rPr>
        <w:tab/>
        <w:t>Date</w:t>
      </w:r>
      <w:r w:rsidRPr="003B0420">
        <w:rPr>
          <w:u w:val="single"/>
        </w:rPr>
        <w:tab/>
        <w:t>Body</w:t>
      </w:r>
      <w:r w:rsidRPr="003B0420">
        <w:rPr>
          <w:u w:val="single"/>
        </w:rPr>
        <w:tab/>
        <w:t>Action Description with journal page number</w:t>
      </w:r>
      <w:r w:rsidRPr="003B0420">
        <w:rPr>
          <w:u w:val="single"/>
        </w:rPr>
        <w:tab/>
      </w:r>
    </w:p>
    <w:p w:rsidR="00443110" w:rsidRDefault="00443110" w:rsidP="0044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House</w:t>
      </w:r>
      <w:r>
        <w:tab/>
        <w:t>Introduced and read first time (</w:t>
      </w:r>
      <w:hyperlink r:id="rId7" w:history="1">
        <w:r w:rsidRPr="00D34434">
          <w:rPr>
            <w:rStyle w:val="Hyperlink"/>
          </w:rPr>
          <w:t>House Journal</w:t>
        </w:r>
        <w:r w:rsidRPr="00D34434">
          <w:rPr>
            <w:rStyle w:val="Hyperlink"/>
          </w:rPr>
          <w:noBreakHyphen/>
          <w:t>page 43</w:t>
        </w:r>
      </w:hyperlink>
      <w:r>
        <w:t>)</w:t>
      </w:r>
    </w:p>
    <w:p w:rsidR="00443110" w:rsidRDefault="00443110" w:rsidP="0044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House</w:t>
      </w:r>
      <w:r>
        <w:tab/>
        <w:t xml:space="preserve">Referred to Committee on </w:t>
      </w:r>
      <w:r w:rsidRPr="00D34434">
        <w:rPr>
          <w:b/>
        </w:rPr>
        <w:t>Ways and Means</w:t>
      </w:r>
      <w:r>
        <w:t xml:space="preserve"> (</w:t>
      </w:r>
      <w:hyperlink r:id="rId8" w:history="1">
        <w:r w:rsidRPr="00D34434">
          <w:rPr>
            <w:rStyle w:val="Hyperlink"/>
          </w:rPr>
          <w:t>House Journal</w:t>
        </w:r>
        <w:r w:rsidRPr="00D34434">
          <w:rPr>
            <w:rStyle w:val="Hyperlink"/>
          </w:rPr>
          <w:noBreakHyphen/>
          <w:t>page 43</w:t>
        </w:r>
      </w:hyperlink>
      <w:r>
        <w:t>)</w:t>
      </w:r>
    </w:p>
    <w:p w:rsidR="00443110" w:rsidRDefault="00443110" w:rsidP="0044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0420" w:rsidRDefault="003B0420" w:rsidP="003B0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B0420">
          <w:rPr>
            <w:rStyle w:val="Hyperlink"/>
          </w:rPr>
          <w:t>legislative information</w:t>
        </w:r>
      </w:hyperlink>
      <w:r>
        <w:t xml:space="preserve"> at the website</w:t>
      </w:r>
    </w:p>
    <w:p w:rsidR="003B0420" w:rsidRDefault="003B0420" w:rsidP="003B0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0420" w:rsidRPr="003B0420" w:rsidRDefault="003B0420" w:rsidP="003B0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0420" w:rsidRDefault="003B0420" w:rsidP="003B0420">
      <w:pPr>
        <w:widowControl w:val="0"/>
        <w:jc w:val="left"/>
      </w:pPr>
      <w:r w:rsidRPr="003B0420">
        <w:rPr>
          <w:b/>
        </w:rPr>
        <w:t>VERSIONS OF THIS BILL</w:t>
      </w:r>
    </w:p>
    <w:p w:rsidR="003B0420" w:rsidRDefault="003B0420" w:rsidP="003B0420">
      <w:pPr>
        <w:widowControl w:val="0"/>
        <w:jc w:val="left"/>
      </w:pPr>
    </w:p>
    <w:p w:rsidR="003B0420" w:rsidRDefault="00147708" w:rsidP="003B0420">
      <w:pPr>
        <w:widowControl w:val="0"/>
        <w:jc w:val="left"/>
      </w:pPr>
      <w:hyperlink r:id="rId10" w:history="1">
        <w:r w:rsidR="003B0420">
          <w:rPr>
            <w:rStyle w:val="Hyperlink"/>
          </w:rPr>
          <w:t>2/24/2021</w:t>
        </w:r>
      </w:hyperlink>
    </w:p>
    <w:p w:rsidR="003B0420" w:rsidRDefault="003B0420" w:rsidP="003B0420"/>
    <w:p w:rsidR="003B0420" w:rsidRDefault="003B0420" w:rsidP="003B0420">
      <w:pPr>
        <w:sectPr w:rsidR="003B0420" w:rsidSect="003B04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6718" w:rsidRDefault="00136718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5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8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05FB3">
        <w:rPr>
          <w:color w:val="000000" w:themeColor="text1"/>
          <w:u w:color="000000" w:themeColor="text1"/>
        </w:rPr>
        <w:t>TO</w:t>
      </w:r>
      <w:r w:rsidRPr="003C0136">
        <w:rPr>
          <w:color w:val="000000" w:themeColor="text1"/>
          <w:u w:color="000000" w:themeColor="text1"/>
        </w:rPr>
        <w:t xml:space="preserve"> AMEND SECTION 12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545, CODE OF LAWS OF SOUTH CAROLINA, 1976, RELATING TO INCOME TAX RATES FOR PASS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THROUGH TRADE AND BUSINESS INCOME, SO AS TO CREATE AN ELECTION TO TAX PARTNERSHIPS AND “S” CORPORATIONS AT THE ENTITY LEVEL; AND TO AMEND SECTION 12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3400, RELATING TO CREDIT FOR INCOME TAX PAID BY SOUTH CAROLINA RESIDENTS TO ANOTHER STATE, SO AS TO PROVIDE THAT AN ELECTING PASS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THROUGH BUSINESS ENTITY IS ELIGIBLE FOR THE CREDIT.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157E" w:rsidRDefault="0097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157E" w:rsidRDefault="0097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>SECTION</w:t>
      </w:r>
      <w:r w:rsidRPr="005233E3">
        <w:rPr>
          <w:color w:val="000000" w:themeColor="text1"/>
          <w:u w:color="000000" w:themeColor="text1"/>
        </w:rPr>
        <w:tab/>
        <w:t>1.</w:t>
      </w:r>
      <w:r w:rsidRPr="005233E3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545 of the 1976 Code is amended by adding a</w:t>
      </w:r>
      <w:r>
        <w:rPr>
          <w:color w:val="000000" w:themeColor="text1"/>
          <w:u w:color="000000" w:themeColor="text1"/>
        </w:rPr>
        <w:t xml:space="preserve"> new</w:t>
      </w:r>
      <w:r w:rsidRPr="005233E3">
        <w:rPr>
          <w:color w:val="000000" w:themeColor="text1"/>
          <w:u w:color="000000" w:themeColor="text1"/>
        </w:rPr>
        <w:t xml:space="preserve"> subsection</w:t>
      </w:r>
      <w:r>
        <w:rPr>
          <w:color w:val="000000" w:themeColor="text1"/>
          <w:u w:color="000000" w:themeColor="text1"/>
        </w:rPr>
        <w:t xml:space="preserve"> at the end</w:t>
      </w:r>
      <w:r w:rsidRPr="005233E3">
        <w:rPr>
          <w:color w:val="000000" w:themeColor="text1"/>
          <w:u w:color="000000" w:themeColor="text1"/>
        </w:rPr>
        <w:t xml:space="preserve"> to read: 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  <w:t>“(G)(1)</w:t>
      </w:r>
      <w:r w:rsidRPr="005233E3">
        <w:rPr>
          <w:color w:val="000000" w:themeColor="text1"/>
          <w:u w:color="000000" w:themeColor="text1"/>
        </w:rPr>
        <w:tab/>
        <w:t>Notwithstanding 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510 and any other provision of this section, a partnership or </w:t>
      </w:r>
      <w:r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corporation, including a limited liability company taxed as a partnership or </w:t>
      </w:r>
      <w:r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corporation, may elect annually under this subsection to have income tax on its active trade or business income at the rate provided in subsection (B)(2) imposed on the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through business entity itself.  Such elections must be made no later than the due date for filing the applicable income tax return, including any extensions.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(2)</w:t>
      </w:r>
      <w:r w:rsidRPr="005233E3">
        <w:rPr>
          <w:color w:val="000000" w:themeColor="text1"/>
          <w:u w:color="000000" w:themeColor="text1"/>
        </w:rPr>
        <w:tab/>
        <w:t>Also notwithstanding 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510, in computing South Carolina taxable income, an individual shall exclude net income or losses received from an electing entity of which the individual is a shareholder, partner, or member provided that the entity properly filed an income tax return and paid the taxes pursuant to this subsection that included the net income or loss.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lastRenderedPageBreak/>
        <w:tab/>
      </w:r>
      <w:r w:rsidRPr="005233E3">
        <w:rPr>
          <w:color w:val="000000" w:themeColor="text1"/>
          <w:u w:color="000000" w:themeColor="text1"/>
        </w:rPr>
        <w:tab/>
        <w:t>(3)</w:t>
      </w:r>
      <w:r w:rsidRPr="005233E3">
        <w:rPr>
          <w:color w:val="000000" w:themeColor="text1"/>
          <w:u w:color="000000" w:themeColor="text1"/>
        </w:rPr>
        <w:tab/>
        <w:t>A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through business entity making an election under this subsection shall report to each of its owners the owner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>s pro rata or distributive share of the trade or business income on which the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business entity paid tax under this subsection. To the extent of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share, the net active trade or business losses of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owner from other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entities that are reported directly by such owner may not reduce tax at a rate higher than the rate provided in subsection (B)(2).  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(4)</w:t>
      </w:r>
      <w:r w:rsidRPr="005233E3">
        <w:rPr>
          <w:color w:val="000000" w:themeColor="text1"/>
          <w:u w:color="000000" w:themeColor="text1"/>
        </w:rPr>
        <w:tab/>
        <w:t>Elections under this subsection have no impact on the determination of the basis of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business entity owners in their ownership interests and indebtedness of entities making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elections for purposes of determining their South Carolina gross income, except that their pro rata or distributive share of the tax paid or accrued by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entities pursuant to </w:t>
      </w:r>
      <w:r>
        <w:rPr>
          <w:color w:val="000000" w:themeColor="text1"/>
          <w:u w:color="000000" w:themeColor="text1"/>
        </w:rPr>
        <w:t xml:space="preserve">such </w:t>
      </w:r>
      <w:r w:rsidRPr="005233E3">
        <w:rPr>
          <w:color w:val="000000" w:themeColor="text1"/>
          <w:u w:color="000000" w:themeColor="text1"/>
        </w:rPr>
        <w:t xml:space="preserve">elections must be taken into account in determining </w:t>
      </w:r>
      <w:r>
        <w:rPr>
          <w:color w:val="000000" w:themeColor="text1"/>
          <w:u w:color="000000" w:themeColor="text1"/>
        </w:rPr>
        <w:t>such</w:t>
      </w:r>
      <w:r w:rsidRPr="005233E3">
        <w:rPr>
          <w:color w:val="000000" w:themeColor="text1"/>
          <w:u w:color="000000" w:themeColor="text1"/>
        </w:rPr>
        <w:t xml:space="preserve"> basis.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(5)</w:t>
      </w:r>
      <w:r w:rsidRPr="005233E3">
        <w:rPr>
          <w:color w:val="000000" w:themeColor="text1"/>
          <w:u w:color="000000" w:themeColor="text1"/>
        </w:rPr>
        <w:tab/>
        <w:t>An owner of a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through business entity making an election under this subsection is not allowed a credit under 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3400 for taxes paid to another state on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entity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s active trade or business income taxed to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entity pursuant to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election, but the entity itself is allowed a credit under 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3400 for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taxes that would otherwise be creditable to its owners under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section in the absence of such election, subject to the limitation contained in that section applied at the entity level.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(6)</w:t>
      </w:r>
      <w:r w:rsidRPr="005233E3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590, dealing with tax withholding on distributions to non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resident shareholders of </w:t>
      </w:r>
      <w:r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corporations and non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resident partners, does not apply to electing entities regarding their a</w:t>
      </w:r>
      <w:r>
        <w:rPr>
          <w:color w:val="000000" w:themeColor="text1"/>
          <w:u w:color="000000" w:themeColor="text1"/>
        </w:rPr>
        <w:t>ctive trade or business income.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(7)</w:t>
      </w:r>
      <w:r w:rsidRPr="005233E3">
        <w:rPr>
          <w:color w:val="000000" w:themeColor="text1"/>
          <w:u w:color="000000" w:themeColor="text1"/>
        </w:rPr>
        <w:tab/>
        <w:t xml:space="preserve">The provisions of Article 25 apply to electing entities, such that an </w:t>
      </w:r>
      <w:r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 or limited liability company, taxed as a partnership or partnership that qualifies for a credit pursuant to Article 25, may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the credit earned to each shareholder of the </w:t>
      </w:r>
      <w:r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</w:t>
      </w:r>
      <w:r>
        <w:rPr>
          <w:color w:val="000000" w:themeColor="text1"/>
          <w:u w:color="000000" w:themeColor="text1"/>
        </w:rPr>
        <w:t>,</w:t>
      </w:r>
      <w:r w:rsidRPr="005233E3">
        <w:rPr>
          <w:color w:val="000000" w:themeColor="text1"/>
          <w:u w:color="000000" w:themeColor="text1"/>
        </w:rPr>
        <w:t xml:space="preserve"> member of the limited liability company, or partner of the partnership.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(8)</w:t>
      </w:r>
      <w:r w:rsidRPr="005233E3">
        <w:rPr>
          <w:color w:val="000000" w:themeColor="text1"/>
          <w:u w:color="000000" w:themeColor="text1"/>
        </w:rPr>
        <w:tab/>
        <w:t>For tax years beginning after 202</w:t>
      </w:r>
      <w:r>
        <w:rPr>
          <w:color w:val="000000" w:themeColor="text1"/>
          <w:u w:color="000000" w:themeColor="text1"/>
        </w:rPr>
        <w:t>1</w:t>
      </w:r>
      <w:r w:rsidRPr="005233E3">
        <w:rPr>
          <w:color w:val="000000" w:themeColor="text1"/>
          <w:u w:color="000000" w:themeColor="text1"/>
        </w:rPr>
        <w:t>, an electing entity shall submit estimated tax payments pursuant to 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3910.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(9)</w:t>
      </w:r>
      <w:r w:rsidRPr="005233E3">
        <w:rPr>
          <w:color w:val="000000" w:themeColor="text1"/>
          <w:u w:color="000000" w:themeColor="text1"/>
        </w:rPr>
        <w:tab/>
        <w:t>If the electing entity fails to pay the amount owed to the department with respect to income as a result of the election, the department may collect the amount from the shareholders, partners, or members based upon their proportionate share of the income.</w:t>
      </w:r>
      <w:r>
        <w:rPr>
          <w:color w:val="000000" w:themeColor="text1"/>
          <w:u w:color="000000" w:themeColor="text1"/>
        </w:rPr>
        <w:t>”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8FA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>SECTION</w:t>
      </w:r>
      <w:r w:rsidRPr="005233E3">
        <w:rPr>
          <w:color w:val="000000" w:themeColor="text1"/>
          <w:u w:color="000000" w:themeColor="text1"/>
        </w:rPr>
        <w:tab/>
        <w:t>2.</w:t>
      </w:r>
      <w:r w:rsidRPr="005233E3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3400(A)(2)(b) of the 1976 Code is amended to read: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“(b)</w:t>
      </w:r>
      <w:r w:rsidRPr="005233E3">
        <w:rPr>
          <w:color w:val="000000" w:themeColor="text1"/>
          <w:u w:color="000000" w:themeColor="text1"/>
        </w:rPr>
        <w:tab/>
        <w:t>the income tax actually paid to the other state</w:t>
      </w:r>
      <w:r w:rsidRPr="005233E3">
        <w:rPr>
          <w:color w:val="000000" w:themeColor="text1"/>
          <w:u w:val="single" w:color="000000" w:themeColor="text1"/>
        </w:rPr>
        <w:t xml:space="preserve">, either directly by </w:t>
      </w:r>
      <w:r>
        <w:rPr>
          <w:color w:val="000000" w:themeColor="text1"/>
          <w:u w:val="single" w:color="000000" w:themeColor="text1"/>
        </w:rPr>
        <w:t>the</w:t>
      </w:r>
      <w:r w:rsidRPr="005233E3">
        <w:rPr>
          <w:color w:val="000000" w:themeColor="text1"/>
          <w:u w:val="single" w:color="000000" w:themeColor="text1"/>
        </w:rPr>
        <w:t xml:space="preserve"> individual or by a pass</w:t>
      </w:r>
      <w:r>
        <w:rPr>
          <w:color w:val="000000" w:themeColor="text1"/>
          <w:u w:val="single" w:color="000000" w:themeColor="text1"/>
        </w:rPr>
        <w:noBreakHyphen/>
      </w:r>
      <w:r w:rsidRPr="005233E3">
        <w:rPr>
          <w:color w:val="000000" w:themeColor="text1"/>
          <w:u w:val="single" w:color="000000" w:themeColor="text1"/>
        </w:rPr>
        <w:t xml:space="preserve">through business entity and passed through by </w:t>
      </w:r>
      <w:r>
        <w:rPr>
          <w:color w:val="000000" w:themeColor="text1"/>
          <w:u w:val="single" w:color="000000" w:themeColor="text1"/>
        </w:rPr>
        <w:t>the</w:t>
      </w:r>
      <w:r w:rsidRPr="005233E3">
        <w:rPr>
          <w:color w:val="000000" w:themeColor="text1"/>
          <w:u w:val="single" w:color="000000" w:themeColor="text1"/>
        </w:rPr>
        <w:t xml:space="preserve"> entity to </w:t>
      </w:r>
      <w:r>
        <w:rPr>
          <w:color w:val="000000" w:themeColor="text1"/>
          <w:u w:val="single" w:color="000000" w:themeColor="text1"/>
        </w:rPr>
        <w:t>the</w:t>
      </w:r>
      <w:r w:rsidRPr="005233E3">
        <w:rPr>
          <w:color w:val="000000" w:themeColor="text1"/>
          <w:u w:val="single" w:color="000000" w:themeColor="text1"/>
        </w:rPr>
        <w:t xml:space="preserve"> individual,</w:t>
      </w:r>
      <w:r w:rsidRPr="005233E3">
        <w:rPr>
          <w:color w:val="000000" w:themeColor="text1"/>
          <w:u w:color="000000" w:themeColor="text1"/>
        </w:rPr>
        <w:t xml:space="preserve"> on income taxed under this chapter.”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57E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233E3">
        <w:rPr>
          <w:color w:val="000000" w:themeColor="text1"/>
          <w:u w:color="000000" w:themeColor="text1"/>
        </w:rPr>
        <w:t>SECTION</w:t>
      </w:r>
      <w:r w:rsidRPr="005233E3">
        <w:rPr>
          <w:color w:val="000000" w:themeColor="text1"/>
          <w:u w:color="000000" w:themeColor="text1"/>
        </w:rPr>
        <w:tab/>
        <w:t>3.</w:t>
      </w:r>
      <w:r w:rsidRPr="005233E3">
        <w:rPr>
          <w:color w:val="000000" w:themeColor="text1"/>
          <w:u w:color="000000" w:themeColor="text1"/>
        </w:rPr>
        <w:tab/>
        <w:t>This act takes effect upon approval by the Governor and first applies to tax years beginning after 2020.</w:t>
      </w:r>
    </w:p>
    <w:p w:rsidR="00AB4D1E" w:rsidRDefault="004628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0420" w:rsidRDefault="003B0420" w:rsidP="003B0420">
      <w:pPr>
        <w:suppressAutoHyphens/>
      </w:pPr>
    </w:p>
    <w:sectPr w:rsidR="003B0420" w:rsidSect="003B042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57E" w:rsidRDefault="0097157E" w:rsidP="009F0C77">
      <w:r>
        <w:separator/>
      </w:r>
    </w:p>
  </w:endnote>
  <w:endnote w:type="continuationSeparator" w:id="0">
    <w:p w:rsidR="0097157E" w:rsidRDefault="009715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CE3AF7-38F2-4D2A-B8DA-AAEDFCEDA8B7}"/>
    <w:embedBold r:id="rId2" w:fontKey="{BA9D20E6-F1F9-47F0-BC3B-F407A6DF640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F2E006-B057-4E1F-BC10-DE17B38538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AC6555-A191-4569-9F2C-F845281095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420" w:rsidRPr="00136718" w:rsidRDefault="003B0420" w:rsidP="001367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0E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57E" w:rsidRDefault="0097157E" w:rsidP="009F0C77">
      <w:r>
        <w:separator/>
      </w:r>
    </w:p>
  </w:footnote>
  <w:footnote w:type="continuationSeparator" w:id="0">
    <w:p w:rsidR="0097157E" w:rsidRDefault="009715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1SA21"/>
    <w:docVar w:name="CoverBillType" w:val="b"/>
    <w:docVar w:name="DocPath" w:val="L:\Council\bills\NBD\11191SA21.DOCX"/>
    <w:docVar w:name="dvBillNumber" w:val="397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7157E"/>
    <w:rsid w:val="00011869"/>
    <w:rsid w:val="00015CD6"/>
    <w:rsid w:val="000E0100"/>
    <w:rsid w:val="000E1785"/>
    <w:rsid w:val="000F40FA"/>
    <w:rsid w:val="001035F1"/>
    <w:rsid w:val="0010776B"/>
    <w:rsid w:val="00133E66"/>
    <w:rsid w:val="00136718"/>
    <w:rsid w:val="001435A3"/>
    <w:rsid w:val="001444C1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420"/>
    <w:rsid w:val="003C4DAB"/>
    <w:rsid w:val="003D01E8"/>
    <w:rsid w:val="003E5288"/>
    <w:rsid w:val="003F6D79"/>
    <w:rsid w:val="0041760A"/>
    <w:rsid w:val="00417C01"/>
    <w:rsid w:val="004403BD"/>
    <w:rsid w:val="00443110"/>
    <w:rsid w:val="00461441"/>
    <w:rsid w:val="004628F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3A13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C0E1C"/>
    <w:rsid w:val="008E543D"/>
    <w:rsid w:val="008F0F33"/>
    <w:rsid w:val="008F4429"/>
    <w:rsid w:val="0094021A"/>
    <w:rsid w:val="0097157E"/>
    <w:rsid w:val="009B44AF"/>
    <w:rsid w:val="009C6A0B"/>
    <w:rsid w:val="009F0C77"/>
    <w:rsid w:val="009F4DD1"/>
    <w:rsid w:val="00A02543"/>
    <w:rsid w:val="00A41684"/>
    <w:rsid w:val="00A46503"/>
    <w:rsid w:val="00A64E80"/>
    <w:rsid w:val="00A72BCD"/>
    <w:rsid w:val="00A741D9"/>
    <w:rsid w:val="00A833AB"/>
    <w:rsid w:val="00A9741D"/>
    <w:rsid w:val="00AB4D1E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EA3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DA86F1-D474-4A4C-AEEA-32DD0EB5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B04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78_202102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7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EA78E-5CFD-4FF2-979B-7C98EA107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813</Words>
  <Characters>4618</Characters>
  <Application>Microsoft Office Word</Application>
  <DocSecurity>0</DocSecurity>
  <Lines>200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3978: Subject not yet available - South Carolina Legislature Online</dc:title>
  <dc:creator>Niki Downey</dc:creator>
  <cp:lastModifiedBy>S Wilson</cp:lastModifiedBy>
  <cp:revision>2</cp:revision>
  <cp:lastPrinted>2021-02-23T19:55:00Z</cp:lastPrinted>
  <dcterms:created xsi:type="dcterms:W3CDTF">2021-03-02T17:44:00Z</dcterms:created>
  <dcterms:modified xsi:type="dcterms:W3CDTF">2021-03-02T17:44:00Z</dcterms:modified>
</cp:coreProperties>
</file>