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B32" w:rsidRDefault="00110B32" w:rsidP="00110B32">
      <w:pPr>
        <w:widowControl w:val="0"/>
        <w:jc w:val="center"/>
      </w:pPr>
      <w:r w:rsidRPr="00110B32">
        <w:rPr>
          <w:b/>
        </w:rPr>
        <w:t>South Carolina General Assembly</w:t>
      </w:r>
    </w:p>
    <w:p w:rsidR="00110B32" w:rsidRDefault="00110B32" w:rsidP="00110B32">
      <w:pPr>
        <w:widowControl w:val="0"/>
        <w:jc w:val="center"/>
      </w:pPr>
      <w:r>
        <w:t>124th Session, 2021-2022</w:t>
      </w:r>
    </w:p>
    <w:p w:rsidR="00110B32" w:rsidRDefault="00110B32" w:rsidP="00110B32">
      <w:pPr>
        <w:widowControl w:val="0"/>
        <w:jc w:val="left"/>
      </w:pPr>
    </w:p>
    <w:p w:rsidR="00110B32" w:rsidRDefault="00110B32" w:rsidP="00110B32">
      <w:pPr>
        <w:widowControl w:val="0"/>
        <w:jc w:val="left"/>
        <w:rPr>
          <w:b/>
        </w:rPr>
      </w:pPr>
      <w:r w:rsidRPr="00110B32">
        <w:rPr>
          <w:b/>
        </w:rPr>
        <w:t>H. 4222</w:t>
      </w:r>
    </w:p>
    <w:p w:rsidR="00110B32" w:rsidRDefault="00110B32" w:rsidP="00110B32">
      <w:pPr>
        <w:widowControl w:val="0"/>
        <w:jc w:val="left"/>
        <w:rPr>
          <w:b/>
        </w:rPr>
      </w:pPr>
    </w:p>
    <w:p w:rsidR="00110B32" w:rsidRDefault="00110B32" w:rsidP="00110B32">
      <w:pPr>
        <w:widowControl w:val="0"/>
        <w:jc w:val="left"/>
      </w:pPr>
      <w:r w:rsidRPr="00110B32">
        <w:rPr>
          <w:b/>
        </w:rPr>
        <w:t>STATUS INFORMATION</w:t>
      </w:r>
    </w:p>
    <w:p w:rsidR="00110B32" w:rsidRDefault="00110B32" w:rsidP="00110B32">
      <w:pPr>
        <w:widowControl w:val="0"/>
        <w:jc w:val="left"/>
      </w:pPr>
    </w:p>
    <w:p w:rsidR="00110B32" w:rsidRDefault="00110B32" w:rsidP="00110B32">
      <w:pPr>
        <w:widowControl w:val="0"/>
        <w:jc w:val="left"/>
      </w:pPr>
      <w:r>
        <w:t>General Bill</w:t>
      </w:r>
    </w:p>
    <w:p w:rsidR="00110B32" w:rsidRDefault="00110B32" w:rsidP="00110B32">
      <w:pPr>
        <w:widowControl w:val="0"/>
        <w:jc w:val="left"/>
      </w:pPr>
      <w:r>
        <w:t>Sponsors: Reps. W. Cox and Dillard</w:t>
      </w:r>
    </w:p>
    <w:p w:rsidR="00110B32" w:rsidRDefault="00110B32" w:rsidP="00110B32">
      <w:pPr>
        <w:widowControl w:val="0"/>
        <w:jc w:val="left"/>
      </w:pPr>
      <w:r>
        <w:t>Document Path: l:\council\bills\nbd\11230dg21.docx</w:t>
      </w:r>
    </w:p>
    <w:p w:rsidR="00110B32" w:rsidRDefault="00110B32" w:rsidP="00110B32">
      <w:pPr>
        <w:widowControl w:val="0"/>
        <w:jc w:val="left"/>
      </w:pPr>
    </w:p>
    <w:p w:rsidR="00110B32" w:rsidRDefault="00110B32" w:rsidP="00110B32">
      <w:pPr>
        <w:widowControl w:val="0"/>
        <w:jc w:val="left"/>
      </w:pPr>
      <w:r>
        <w:t>Introduced in the House on April 20, 2021</w:t>
      </w:r>
    </w:p>
    <w:p w:rsidR="00110B32" w:rsidRDefault="00110B32" w:rsidP="00110B32">
      <w:pPr>
        <w:widowControl w:val="0"/>
        <w:jc w:val="left"/>
      </w:pPr>
      <w:r>
        <w:t xml:space="preserve">Currently residing in the House Committee on </w:t>
      </w:r>
      <w:r w:rsidRPr="00110B32">
        <w:rPr>
          <w:b/>
        </w:rPr>
        <w:t>Ways and Means</w:t>
      </w:r>
    </w:p>
    <w:p w:rsidR="00110B32" w:rsidRDefault="00110B32" w:rsidP="00110B32">
      <w:pPr>
        <w:widowControl w:val="0"/>
        <w:jc w:val="left"/>
      </w:pPr>
    </w:p>
    <w:p w:rsidR="00110B32" w:rsidRDefault="00110B32" w:rsidP="00110B32">
      <w:pPr>
        <w:widowControl w:val="0"/>
        <w:jc w:val="left"/>
      </w:pPr>
      <w:r>
        <w:t>Summary: Additional homestead tax exemption</w:t>
      </w:r>
    </w:p>
    <w:p w:rsidR="00110B32" w:rsidRDefault="00110B32" w:rsidP="00110B32">
      <w:pPr>
        <w:widowControl w:val="0"/>
        <w:jc w:val="left"/>
      </w:pPr>
    </w:p>
    <w:p w:rsidR="00110B32" w:rsidRDefault="00110B32" w:rsidP="00110B32">
      <w:pPr>
        <w:widowControl w:val="0"/>
        <w:jc w:val="left"/>
      </w:pPr>
    </w:p>
    <w:p w:rsidR="00110B32" w:rsidRDefault="00110B32" w:rsidP="00110B32">
      <w:pPr>
        <w:widowControl w:val="0"/>
        <w:tabs>
          <w:tab w:val="center" w:pos="590"/>
          <w:tab w:val="center" w:pos="1440"/>
          <w:tab w:val="left" w:pos="1872"/>
          <w:tab w:val="left" w:pos="9187"/>
        </w:tabs>
        <w:jc w:val="left"/>
      </w:pPr>
      <w:r w:rsidRPr="00110B32">
        <w:rPr>
          <w:b/>
        </w:rPr>
        <w:t>HISTORY OF LEGISLATIVE ACTIONS</w:t>
      </w:r>
    </w:p>
    <w:p w:rsidR="00110B32" w:rsidRDefault="00110B32" w:rsidP="00110B32">
      <w:pPr>
        <w:widowControl w:val="0"/>
        <w:tabs>
          <w:tab w:val="center" w:pos="590"/>
          <w:tab w:val="center" w:pos="1440"/>
          <w:tab w:val="left" w:pos="1872"/>
          <w:tab w:val="left" w:pos="9187"/>
        </w:tabs>
        <w:jc w:val="left"/>
      </w:pPr>
    </w:p>
    <w:p w:rsidR="00110B32" w:rsidRPr="00110B32" w:rsidRDefault="00110B32" w:rsidP="00110B32">
      <w:pPr>
        <w:widowControl w:val="0"/>
        <w:tabs>
          <w:tab w:val="center" w:pos="590"/>
          <w:tab w:val="center" w:pos="1440"/>
          <w:tab w:val="left" w:pos="1872"/>
          <w:tab w:val="left" w:pos="9187"/>
        </w:tabs>
        <w:jc w:val="left"/>
      </w:pPr>
      <w:r w:rsidRPr="00110B32">
        <w:rPr>
          <w:u w:val="single"/>
        </w:rPr>
        <w:tab/>
        <w:t>Date</w:t>
      </w:r>
      <w:r w:rsidRPr="00110B32">
        <w:rPr>
          <w:u w:val="single"/>
        </w:rPr>
        <w:tab/>
        <w:t>Body</w:t>
      </w:r>
      <w:r w:rsidRPr="00110B32">
        <w:rPr>
          <w:u w:val="single"/>
        </w:rPr>
        <w:tab/>
        <w:t>Action Description with journal page number</w:t>
      </w:r>
      <w:r w:rsidRPr="00110B32">
        <w:rPr>
          <w:u w:val="single"/>
        </w:rPr>
        <w:tab/>
      </w:r>
    </w:p>
    <w:p w:rsidR="00464A2F" w:rsidRDefault="00464A2F" w:rsidP="00464A2F">
      <w:pPr>
        <w:widowControl w:val="0"/>
        <w:tabs>
          <w:tab w:val="right" w:pos="1008"/>
          <w:tab w:val="left" w:pos="1152"/>
          <w:tab w:val="left" w:pos="1872"/>
          <w:tab w:val="left" w:pos="9187"/>
        </w:tabs>
        <w:ind w:left="2088" w:hanging="2088"/>
      </w:pPr>
      <w:r>
        <w:tab/>
        <w:t>4/20/2021</w:t>
      </w:r>
      <w:r>
        <w:tab/>
        <w:t>House</w:t>
      </w:r>
      <w:r>
        <w:tab/>
        <w:t>Introduced and read first time (</w:t>
      </w:r>
      <w:hyperlink r:id="rId7" w:history="1">
        <w:r w:rsidRPr="00BD504C">
          <w:rPr>
            <w:rStyle w:val="Hyperlink"/>
          </w:rPr>
          <w:t>House Journal</w:t>
        </w:r>
        <w:r w:rsidRPr="00BD504C">
          <w:rPr>
            <w:rStyle w:val="Hyperlink"/>
          </w:rPr>
          <w:noBreakHyphen/>
          <w:t>page 3</w:t>
        </w:r>
      </w:hyperlink>
      <w:r>
        <w:t>)</w:t>
      </w:r>
    </w:p>
    <w:p w:rsidR="00464A2F" w:rsidRDefault="00464A2F" w:rsidP="00464A2F">
      <w:pPr>
        <w:widowControl w:val="0"/>
        <w:tabs>
          <w:tab w:val="right" w:pos="1008"/>
          <w:tab w:val="left" w:pos="1152"/>
          <w:tab w:val="left" w:pos="1872"/>
          <w:tab w:val="left" w:pos="9187"/>
        </w:tabs>
        <w:ind w:left="2088" w:hanging="2088"/>
      </w:pPr>
      <w:r>
        <w:tab/>
        <w:t>4/20/2021</w:t>
      </w:r>
      <w:r>
        <w:tab/>
        <w:t>House</w:t>
      </w:r>
      <w:r>
        <w:tab/>
        <w:t xml:space="preserve">Referred to Committee on </w:t>
      </w:r>
      <w:r w:rsidRPr="00BD504C">
        <w:rPr>
          <w:b/>
        </w:rPr>
        <w:t>Ways and Means</w:t>
      </w:r>
      <w:r>
        <w:t xml:space="preserve"> (</w:t>
      </w:r>
      <w:hyperlink r:id="rId8" w:history="1">
        <w:r w:rsidRPr="00BD504C">
          <w:rPr>
            <w:rStyle w:val="Hyperlink"/>
          </w:rPr>
          <w:t>House Journal</w:t>
        </w:r>
        <w:r w:rsidRPr="00BD504C">
          <w:rPr>
            <w:rStyle w:val="Hyperlink"/>
          </w:rPr>
          <w:noBreakHyphen/>
          <w:t>page 3</w:t>
        </w:r>
      </w:hyperlink>
      <w:r>
        <w:t>)</w:t>
      </w:r>
    </w:p>
    <w:p w:rsidR="00464A2F" w:rsidRDefault="00464A2F" w:rsidP="00464A2F">
      <w:pPr>
        <w:widowControl w:val="0"/>
        <w:tabs>
          <w:tab w:val="right" w:pos="1008"/>
          <w:tab w:val="left" w:pos="1152"/>
          <w:tab w:val="left" w:pos="1872"/>
          <w:tab w:val="left" w:pos="9187"/>
        </w:tabs>
        <w:ind w:left="2088" w:hanging="2088"/>
      </w:pPr>
    </w:p>
    <w:p w:rsidR="00110B32" w:rsidRDefault="00110B32" w:rsidP="00110B3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10B32">
          <w:rPr>
            <w:rStyle w:val="Hyperlink"/>
          </w:rPr>
          <w:t>legislative information</w:t>
        </w:r>
      </w:hyperlink>
      <w:r>
        <w:t xml:space="preserve"> at the website</w:t>
      </w:r>
    </w:p>
    <w:p w:rsidR="00110B32" w:rsidRDefault="00110B32" w:rsidP="00110B32">
      <w:pPr>
        <w:widowControl w:val="0"/>
        <w:tabs>
          <w:tab w:val="right" w:pos="1008"/>
          <w:tab w:val="left" w:pos="1152"/>
          <w:tab w:val="left" w:pos="1872"/>
          <w:tab w:val="left" w:pos="9187"/>
        </w:tabs>
        <w:ind w:left="2088" w:hanging="2088"/>
        <w:jc w:val="left"/>
      </w:pPr>
    </w:p>
    <w:p w:rsidR="00110B32" w:rsidRPr="00110B32" w:rsidRDefault="00110B32" w:rsidP="00110B32">
      <w:pPr>
        <w:widowControl w:val="0"/>
        <w:tabs>
          <w:tab w:val="right" w:pos="1008"/>
          <w:tab w:val="left" w:pos="1152"/>
          <w:tab w:val="left" w:pos="1872"/>
          <w:tab w:val="left" w:pos="9187"/>
        </w:tabs>
        <w:ind w:left="2088" w:hanging="2088"/>
        <w:jc w:val="left"/>
      </w:pPr>
    </w:p>
    <w:p w:rsidR="00110B32" w:rsidRDefault="00110B32" w:rsidP="00110B32">
      <w:pPr>
        <w:widowControl w:val="0"/>
        <w:jc w:val="left"/>
      </w:pPr>
      <w:r w:rsidRPr="00110B32">
        <w:rPr>
          <w:b/>
        </w:rPr>
        <w:t>VERSIONS OF THIS BILL</w:t>
      </w:r>
    </w:p>
    <w:p w:rsidR="00110B32" w:rsidRDefault="00110B32" w:rsidP="00110B32">
      <w:pPr>
        <w:widowControl w:val="0"/>
        <w:jc w:val="left"/>
      </w:pPr>
    </w:p>
    <w:p w:rsidR="00110B32" w:rsidRDefault="00867DD6" w:rsidP="00110B32">
      <w:pPr>
        <w:widowControl w:val="0"/>
        <w:jc w:val="left"/>
      </w:pPr>
      <w:hyperlink r:id="rId10" w:history="1">
        <w:r w:rsidR="00110B32">
          <w:rPr>
            <w:rStyle w:val="Hyperlink"/>
          </w:rPr>
          <w:t>4/20/2021</w:t>
        </w:r>
      </w:hyperlink>
    </w:p>
    <w:p w:rsidR="00110B32" w:rsidRDefault="00110B32" w:rsidP="00110B32"/>
    <w:p w:rsidR="00110B32" w:rsidRDefault="00110B32" w:rsidP="00110B32">
      <w:pPr>
        <w:sectPr w:rsidR="00110B32" w:rsidSect="00110B32">
          <w:pgSz w:w="12240" w:h="15840" w:code="1"/>
          <w:pgMar w:top="1080" w:right="1440" w:bottom="1080" w:left="1440" w:header="720" w:footer="720" w:gutter="0"/>
          <w:cols w:space="720"/>
          <w:noEndnote/>
          <w:docGrid w:linePitch="360"/>
        </w:sectPr>
      </w:pPr>
    </w:p>
    <w:p w:rsidR="009E05B7" w:rsidRDefault="009E05B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0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57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E12EF" w:rsidRDefault="002E12EF" w:rsidP="002E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C141D">
        <w:rPr>
          <w:color w:val="000000" w:themeColor="text1"/>
          <w:u w:color="000000" w:themeColor="text1"/>
        </w:rPr>
        <w:t>TO AMEND SECTION 12</w:t>
      </w:r>
      <w:r>
        <w:rPr>
          <w:color w:val="000000" w:themeColor="text1"/>
          <w:u w:color="000000" w:themeColor="text1"/>
        </w:rPr>
        <w:noBreakHyphen/>
      </w:r>
      <w:r w:rsidRPr="003C141D">
        <w:rPr>
          <w:color w:val="000000" w:themeColor="text1"/>
          <w:u w:color="000000" w:themeColor="text1"/>
        </w:rPr>
        <w:t>37</w:t>
      </w:r>
      <w:r>
        <w:rPr>
          <w:color w:val="000000" w:themeColor="text1"/>
          <w:u w:color="000000" w:themeColor="text1"/>
        </w:rPr>
        <w:noBreakHyphen/>
      </w:r>
      <w:r w:rsidRPr="003C141D">
        <w:rPr>
          <w:color w:val="000000" w:themeColor="text1"/>
          <w:u w:color="000000" w:themeColor="text1"/>
        </w:rPr>
        <w:t>250, CODE OF LAWS OF SOUTH CAROLINA, 1976, RELATING TO THE ORIGINAL HOMESTEAD TAX EXEMPTION, SO AS TO ALLOW FOR AN ADDITIONAL EXEMPTION FOR ANY INCREASE IN VALUE ATTRIBUTABLE TO THE PERIODIC COUNTYWIDE APPRAISAL AND EQUALIZATION PROGRAM.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5788" w:rsidRDefault="00BD5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5788" w:rsidRDefault="00BD5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12EF" w:rsidRPr="003C141D" w:rsidRDefault="002E12EF" w:rsidP="002E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41D">
        <w:rPr>
          <w:color w:val="000000" w:themeColor="text1"/>
          <w:u w:color="000000" w:themeColor="text1"/>
        </w:rPr>
        <w:t>SECTION</w:t>
      </w:r>
      <w:r w:rsidRPr="003C141D">
        <w:rPr>
          <w:color w:val="000000" w:themeColor="text1"/>
          <w:u w:color="000000" w:themeColor="text1"/>
        </w:rPr>
        <w:tab/>
        <w:t>1.</w:t>
      </w:r>
      <w:r w:rsidRPr="003C141D">
        <w:rPr>
          <w:color w:val="000000" w:themeColor="text1"/>
          <w:u w:color="000000" w:themeColor="text1"/>
        </w:rPr>
        <w:tab/>
        <w:t>Section 12</w:t>
      </w:r>
      <w:r>
        <w:rPr>
          <w:color w:val="000000" w:themeColor="text1"/>
          <w:u w:color="000000" w:themeColor="text1"/>
        </w:rPr>
        <w:noBreakHyphen/>
      </w:r>
      <w:r w:rsidRPr="003C141D">
        <w:rPr>
          <w:color w:val="000000" w:themeColor="text1"/>
          <w:u w:color="000000" w:themeColor="text1"/>
        </w:rPr>
        <w:t>37</w:t>
      </w:r>
      <w:r>
        <w:rPr>
          <w:color w:val="000000" w:themeColor="text1"/>
          <w:u w:color="000000" w:themeColor="text1"/>
        </w:rPr>
        <w:noBreakHyphen/>
      </w:r>
      <w:r w:rsidRPr="003C141D">
        <w:rPr>
          <w:color w:val="000000" w:themeColor="text1"/>
          <w:u w:color="000000" w:themeColor="text1"/>
        </w:rPr>
        <w:t>250(A) of the 1976 Code is amended by adding an appropriately numbered item at the end to read:</w:t>
      </w:r>
    </w:p>
    <w:p w:rsidR="002E12EF" w:rsidRPr="003C141D" w:rsidRDefault="002E12EF" w:rsidP="002E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12EF" w:rsidRPr="003C141D" w:rsidRDefault="002E12EF" w:rsidP="002E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141D">
        <w:rPr>
          <w:color w:val="000000" w:themeColor="text1"/>
          <w:u w:color="000000" w:themeColor="text1"/>
        </w:rPr>
        <w:tab/>
        <w:t>“(  )</w:t>
      </w:r>
      <w:r w:rsidRPr="003C141D">
        <w:rPr>
          <w:color w:val="000000" w:themeColor="text1"/>
          <w:u w:color="000000" w:themeColor="text1"/>
        </w:rPr>
        <w:tab/>
        <w:t xml:space="preserve">In addition to the exemption amount set forth in item (1), for such qualifying persons there </w:t>
      </w:r>
      <w:r w:rsidR="003F369B" w:rsidRPr="003C141D">
        <w:rPr>
          <w:color w:val="000000" w:themeColor="text1"/>
          <w:u w:color="000000" w:themeColor="text1"/>
        </w:rPr>
        <w:t xml:space="preserve">also </w:t>
      </w:r>
      <w:r w:rsidRPr="003C141D">
        <w:rPr>
          <w:color w:val="000000" w:themeColor="text1"/>
          <w:u w:color="000000" w:themeColor="text1"/>
        </w:rPr>
        <w:t>is exempt an amount of fair market value sufficient to exempt any increase in value attributable to the periodic countywide appraisal and equalization program implemented pursuant to Section 12</w:t>
      </w:r>
      <w:r>
        <w:rPr>
          <w:color w:val="000000" w:themeColor="text1"/>
          <w:u w:color="000000" w:themeColor="text1"/>
        </w:rPr>
        <w:noBreakHyphen/>
      </w:r>
      <w:r w:rsidRPr="003C141D">
        <w:rPr>
          <w:color w:val="000000" w:themeColor="text1"/>
          <w:u w:color="000000" w:themeColor="text1"/>
        </w:rPr>
        <w:t>43</w:t>
      </w:r>
      <w:r>
        <w:rPr>
          <w:color w:val="000000" w:themeColor="text1"/>
          <w:u w:color="000000" w:themeColor="text1"/>
        </w:rPr>
        <w:noBreakHyphen/>
      </w:r>
      <w:r w:rsidRPr="003C141D">
        <w:rPr>
          <w:color w:val="000000" w:themeColor="text1"/>
          <w:u w:color="000000" w:themeColor="text1"/>
        </w:rPr>
        <w:t>217 occurring after the person first claims the exemption on the dwelling place.  Eligibility for the additional exemption allowed by this item, including for a surviving spouse, must be determined in the same manner as the exemption set forth in item (1).  Notwithstanding Section 12</w:t>
      </w:r>
      <w:r>
        <w:rPr>
          <w:color w:val="000000" w:themeColor="text1"/>
          <w:u w:color="000000" w:themeColor="text1"/>
        </w:rPr>
        <w:noBreakHyphen/>
      </w:r>
      <w:r w:rsidRPr="003C141D">
        <w:rPr>
          <w:color w:val="000000" w:themeColor="text1"/>
          <w:u w:color="000000" w:themeColor="text1"/>
        </w:rPr>
        <w:t>37</w:t>
      </w:r>
      <w:r>
        <w:rPr>
          <w:color w:val="000000" w:themeColor="text1"/>
          <w:u w:color="000000" w:themeColor="text1"/>
        </w:rPr>
        <w:noBreakHyphen/>
      </w:r>
      <w:r w:rsidRPr="003C141D">
        <w:rPr>
          <w:color w:val="000000" w:themeColor="text1"/>
          <w:u w:color="000000" w:themeColor="text1"/>
        </w:rPr>
        <w:t>270, the additional exemption allowed by this item is not eligible for reimbursement and shall not be considered when calculating amounts credited to the Trust Fund for Tax Relief.”</w:t>
      </w:r>
    </w:p>
    <w:p w:rsidR="002E12EF" w:rsidRPr="003C141D" w:rsidRDefault="002E12EF" w:rsidP="002E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788" w:rsidRDefault="002E12EF" w:rsidP="002E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141D">
        <w:rPr>
          <w:color w:val="000000" w:themeColor="text1"/>
          <w:u w:color="000000" w:themeColor="text1"/>
        </w:rPr>
        <w:t>SECTION</w:t>
      </w:r>
      <w:r w:rsidRPr="003C141D">
        <w:rPr>
          <w:color w:val="000000" w:themeColor="text1"/>
          <w:u w:color="000000" w:themeColor="text1"/>
        </w:rPr>
        <w:tab/>
        <w:t>2.</w:t>
      </w:r>
      <w:r w:rsidRPr="003C141D">
        <w:rPr>
          <w:color w:val="000000" w:themeColor="text1"/>
          <w:u w:color="000000" w:themeColor="text1"/>
        </w:rPr>
        <w:tab/>
        <w:t>This act takes effect upon approval by the Governor and first applies to property tax years beginning after 2020 for which the implementation of a quadrennial reassessment occurred after 2020.</w:t>
      </w:r>
    </w:p>
    <w:p w:rsidR="001C4D47" w:rsidRDefault="002E12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0B32" w:rsidRDefault="00110B32" w:rsidP="00110B32">
      <w:pPr>
        <w:suppressAutoHyphens/>
      </w:pPr>
    </w:p>
    <w:sectPr w:rsidR="00110B32" w:rsidSect="00110B3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788" w:rsidRDefault="00BD5788" w:rsidP="009F0C77">
      <w:r>
        <w:separator/>
      </w:r>
    </w:p>
  </w:endnote>
  <w:endnote w:type="continuationSeparator" w:id="0">
    <w:p w:rsidR="00BD5788" w:rsidRDefault="00BD57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C15973-401A-445F-871D-402BB1BF8034}"/>
    <w:embedBold r:id="rId2" w:fontKey="{52E93C5F-AEFD-43DD-93EA-74CCED5339B2}"/>
  </w:font>
  <w:font w:name="Calibri">
    <w:panose1 w:val="020F0502020204030204"/>
    <w:charset w:val="00"/>
    <w:family w:val="swiss"/>
    <w:pitch w:val="variable"/>
    <w:sig w:usb0="E0002EFF" w:usb1="C000247B" w:usb2="00000009" w:usb3="00000000" w:csb0="000001FF" w:csb1="00000000"/>
    <w:embedRegular r:id="rId3" w:fontKey="{D9944CC5-4BBE-45E5-A422-C422037A2787}"/>
  </w:font>
  <w:font w:name="Segoe UI">
    <w:panose1 w:val="020B0502040204020203"/>
    <w:charset w:val="00"/>
    <w:family w:val="swiss"/>
    <w:pitch w:val="variable"/>
    <w:sig w:usb0="E4002EFF" w:usb1="C000E47F" w:usb2="00000009" w:usb3="00000000" w:csb0="000001FF" w:csb1="00000000"/>
    <w:embedRegular r:id="rId4" w:fontKey="{6B7972B3-A462-47C9-9270-69C393287EC2}"/>
  </w:font>
  <w:font w:name="Cambria">
    <w:panose1 w:val="02040503050406030204"/>
    <w:charset w:val="00"/>
    <w:family w:val="roman"/>
    <w:pitch w:val="variable"/>
    <w:sig w:usb0="E00006FF" w:usb1="420024FF" w:usb2="02000000" w:usb3="00000000" w:csb0="0000019F" w:csb1="00000000"/>
    <w:embedRegular r:id="rId5" w:fontKey="{E8E5180D-779A-492E-A308-18998C5ECB6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0B32" w:rsidRPr="009E05B7" w:rsidRDefault="00110B32" w:rsidP="009E05B7">
    <w:pPr>
      <w:pStyle w:val="Footer"/>
      <w:tabs>
        <w:tab w:val="clear" w:pos="4680"/>
        <w:tab w:val="clear" w:pos="9360"/>
        <w:tab w:val="center" w:pos="2995"/>
      </w:tabs>
      <w:spacing w:before="120"/>
    </w:pPr>
    <w:r>
      <w:t>[4222]</w:t>
    </w:r>
    <w:r>
      <w:tab/>
    </w:r>
    <w:r>
      <w:fldChar w:fldCharType="begin"/>
    </w:r>
    <w:r>
      <w:instrText xml:space="preserve"> PAGE  \* MERGEFORMAT </w:instrText>
    </w:r>
    <w:r>
      <w:fldChar w:fldCharType="separate"/>
    </w:r>
    <w:r w:rsidR="00464A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788" w:rsidRDefault="00BD5788" w:rsidP="009F0C77">
      <w:r>
        <w:separator/>
      </w:r>
    </w:p>
  </w:footnote>
  <w:footnote w:type="continuationSeparator" w:id="0">
    <w:p w:rsidR="00BD5788" w:rsidRDefault="00BD57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0DG21"/>
    <w:docVar w:name="CoverBillType" w:val="b"/>
    <w:docVar w:name="DocPath" w:val="L:\Council\bills\NBD\11230DG21.DOCX"/>
    <w:docVar w:name="dvBillNumber" w:val="4222"/>
    <w:docVar w:name="dvBillNumberPrefix" w:val="H. "/>
    <w:docVar w:name="dvOriginalBody" w:val="House"/>
    <w:docVar w:name="dvSteno" w:val="NBD"/>
    <w:docVar w:name="NameofBody" w:val="h"/>
    <w:docVar w:name="vGroup2" w:val="Council"/>
  </w:docVars>
  <w:rsids>
    <w:rsidRoot w:val="00BD5788"/>
    <w:rsid w:val="00011869"/>
    <w:rsid w:val="00015CD6"/>
    <w:rsid w:val="000E0100"/>
    <w:rsid w:val="000E1785"/>
    <w:rsid w:val="000F40FA"/>
    <w:rsid w:val="001035F1"/>
    <w:rsid w:val="0010776B"/>
    <w:rsid w:val="00110B32"/>
    <w:rsid w:val="00133E66"/>
    <w:rsid w:val="001435A3"/>
    <w:rsid w:val="00146ED3"/>
    <w:rsid w:val="00151044"/>
    <w:rsid w:val="001C4D47"/>
    <w:rsid w:val="001D08F2"/>
    <w:rsid w:val="001D3A58"/>
    <w:rsid w:val="001D525B"/>
    <w:rsid w:val="001D7F4F"/>
    <w:rsid w:val="001F2931"/>
    <w:rsid w:val="00205238"/>
    <w:rsid w:val="002321B6"/>
    <w:rsid w:val="00232912"/>
    <w:rsid w:val="00250967"/>
    <w:rsid w:val="002543C8"/>
    <w:rsid w:val="0025541D"/>
    <w:rsid w:val="00284AAE"/>
    <w:rsid w:val="002E12EF"/>
    <w:rsid w:val="002E5912"/>
    <w:rsid w:val="00301B21"/>
    <w:rsid w:val="00325348"/>
    <w:rsid w:val="0032732C"/>
    <w:rsid w:val="00336AD0"/>
    <w:rsid w:val="0037079A"/>
    <w:rsid w:val="003C4DAB"/>
    <w:rsid w:val="003D01E8"/>
    <w:rsid w:val="003E5288"/>
    <w:rsid w:val="003F369B"/>
    <w:rsid w:val="003F6D79"/>
    <w:rsid w:val="0041760A"/>
    <w:rsid w:val="00417C01"/>
    <w:rsid w:val="004403BD"/>
    <w:rsid w:val="00461441"/>
    <w:rsid w:val="00464A2F"/>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5D92"/>
    <w:rsid w:val="00736959"/>
    <w:rsid w:val="007A70AE"/>
    <w:rsid w:val="008362E8"/>
    <w:rsid w:val="0085786E"/>
    <w:rsid w:val="008A1768"/>
    <w:rsid w:val="008A489F"/>
    <w:rsid w:val="008E691E"/>
    <w:rsid w:val="008F0F33"/>
    <w:rsid w:val="008F4429"/>
    <w:rsid w:val="0094021A"/>
    <w:rsid w:val="009B44AF"/>
    <w:rsid w:val="009C6A0B"/>
    <w:rsid w:val="009E05B7"/>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D578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EF60CD-8CF2-493E-AC0F-294B44633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12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2EF"/>
    <w:rPr>
      <w:rFonts w:ascii="Segoe UI" w:eastAsia="Times New Roman" w:hAnsi="Segoe UI" w:cs="Segoe UI"/>
      <w:sz w:val="18"/>
      <w:szCs w:val="18"/>
    </w:rPr>
  </w:style>
  <w:style w:type="character" w:styleId="Hyperlink">
    <w:name w:val="Hyperlink"/>
    <w:basedOn w:val="DefaultParagraphFont"/>
    <w:uiPriority w:val="99"/>
    <w:unhideWhenUsed/>
    <w:rsid w:val="00110B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2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2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222_202104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2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44765-991E-4479-AA27-7A19F65BC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353</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4222: Subject not yet available - South Carolina Legislature Online</dc:title>
  <dc:creator>Niki Downey</dc:creator>
  <cp:lastModifiedBy>S Wilson</cp:lastModifiedBy>
  <cp:revision>2</cp:revision>
  <cp:lastPrinted>2021-04-15T13:34:00Z</cp:lastPrinted>
  <dcterms:created xsi:type="dcterms:W3CDTF">2021-04-21T12:45:00Z</dcterms:created>
  <dcterms:modified xsi:type="dcterms:W3CDTF">2021-04-21T12:45:00Z</dcterms:modified>
</cp:coreProperties>
</file>