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98FBA"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4CDE">
        <w:rPr>
          <w:rFonts w:eastAsia="Times New Roman" w:cs="Times New Roman"/>
          <w:b/>
          <w:szCs w:val="20"/>
        </w:rPr>
        <w:t>South Carolina General Assembly</w:t>
      </w:r>
    </w:p>
    <w:p w14:paraId="46BB9E66"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4CDE">
        <w:rPr>
          <w:rFonts w:eastAsia="Times New Roman" w:cs="Times New Roman"/>
          <w:szCs w:val="20"/>
        </w:rPr>
        <w:t>124th Session, 2021-2022</w:t>
      </w:r>
    </w:p>
    <w:p w14:paraId="26B88201"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F6016C4" w14:textId="614CA2C2" w:rsidR="002C4CDE" w:rsidRPr="002C4CDE" w:rsidRDefault="008617B6"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A197, R223, H4983</w:t>
      </w:r>
    </w:p>
    <w:p w14:paraId="74560BBB"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240CFD6C"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CDE">
        <w:rPr>
          <w:rFonts w:eastAsia="Times New Roman" w:cs="Times New Roman"/>
          <w:b/>
          <w:szCs w:val="20"/>
        </w:rPr>
        <w:t>STATUS INFORMATION</w:t>
      </w:r>
    </w:p>
    <w:p w14:paraId="2162CEB6"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6A0D19D"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CDE">
        <w:rPr>
          <w:rFonts w:eastAsia="Times New Roman" w:cs="Times New Roman"/>
          <w:szCs w:val="20"/>
        </w:rPr>
        <w:t>General Bill</w:t>
      </w:r>
    </w:p>
    <w:p w14:paraId="42966866"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CDE">
        <w:rPr>
          <w:rFonts w:eastAsia="Times New Roman" w:cs="Times New Roman"/>
          <w:szCs w:val="20"/>
        </w:rPr>
        <w:t>Sponsors: Rep. Sandifer</w:t>
      </w:r>
    </w:p>
    <w:p w14:paraId="1F2FEE45"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CDE">
        <w:rPr>
          <w:rFonts w:eastAsia="Times New Roman" w:cs="Times New Roman"/>
          <w:szCs w:val="20"/>
        </w:rPr>
        <w:t>Document Path: l:\council\bills\nbd\11333hb22.docx</w:t>
      </w:r>
    </w:p>
    <w:p w14:paraId="0CD47F0C"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8994BA6" w14:textId="77777777" w:rsidR="00D50473" w:rsidRDefault="00D50473"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2022</w:t>
      </w:r>
    </w:p>
    <w:p w14:paraId="0043B2F7" w14:textId="77777777" w:rsidR="00D50473" w:rsidRDefault="00D50473"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2022</w:t>
      </w:r>
    </w:p>
    <w:p w14:paraId="5C716DD2" w14:textId="77777777" w:rsidR="00D50473" w:rsidRDefault="00D50473"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2022</w:t>
      </w:r>
    </w:p>
    <w:p w14:paraId="35BC4D31" w14:textId="77777777" w:rsidR="00D50473" w:rsidRDefault="00D50473"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1A589CE8" w14:textId="77777777" w:rsidR="00D50473" w:rsidRDefault="00D50473"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DF9CF8F" w14:textId="13EA30A3"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CDE">
        <w:rPr>
          <w:rFonts w:eastAsia="Times New Roman" w:cs="Times New Roman"/>
          <w:szCs w:val="20"/>
        </w:rPr>
        <w:t>Summary: Continuing care retirement communities</w:t>
      </w:r>
    </w:p>
    <w:p w14:paraId="039C82E2"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655DB17"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6C2C3AB" w14:textId="77777777" w:rsidR="002C4CDE" w:rsidRPr="002C4CDE" w:rsidRDefault="002C4CDE" w:rsidP="002C4CDE">
      <w:pPr>
        <w:widowControl w:val="0"/>
        <w:tabs>
          <w:tab w:val="center" w:pos="590"/>
          <w:tab w:val="center" w:pos="1440"/>
          <w:tab w:val="left" w:pos="1872"/>
          <w:tab w:val="left" w:pos="9187"/>
        </w:tabs>
        <w:rPr>
          <w:rFonts w:eastAsia="Times New Roman" w:cs="Times New Roman"/>
          <w:szCs w:val="20"/>
        </w:rPr>
      </w:pPr>
      <w:r w:rsidRPr="002C4CDE">
        <w:rPr>
          <w:rFonts w:eastAsia="Times New Roman" w:cs="Times New Roman"/>
          <w:b/>
          <w:szCs w:val="20"/>
        </w:rPr>
        <w:t>HISTORY OF LEGISLATIVE ACTIONS</w:t>
      </w:r>
    </w:p>
    <w:p w14:paraId="38D94772" w14:textId="77777777" w:rsidR="002C4CDE" w:rsidRPr="002C4CDE" w:rsidRDefault="002C4CDE" w:rsidP="002C4CDE">
      <w:pPr>
        <w:widowControl w:val="0"/>
        <w:tabs>
          <w:tab w:val="center" w:pos="590"/>
          <w:tab w:val="center" w:pos="1440"/>
          <w:tab w:val="left" w:pos="1872"/>
          <w:tab w:val="left" w:pos="9187"/>
        </w:tabs>
        <w:rPr>
          <w:rFonts w:eastAsia="Times New Roman" w:cs="Times New Roman"/>
          <w:szCs w:val="20"/>
        </w:rPr>
      </w:pPr>
    </w:p>
    <w:p w14:paraId="0296AF78" w14:textId="77777777" w:rsidR="002C4CDE" w:rsidRPr="002C4CDE" w:rsidRDefault="002C4CDE" w:rsidP="002C4CDE">
      <w:pPr>
        <w:widowControl w:val="0"/>
        <w:tabs>
          <w:tab w:val="center" w:pos="590"/>
          <w:tab w:val="center" w:pos="1440"/>
          <w:tab w:val="left" w:pos="1872"/>
          <w:tab w:val="left" w:pos="9187"/>
        </w:tabs>
        <w:rPr>
          <w:rFonts w:eastAsia="Times New Roman" w:cs="Times New Roman"/>
          <w:szCs w:val="20"/>
        </w:rPr>
      </w:pPr>
      <w:r w:rsidRPr="002C4CDE">
        <w:rPr>
          <w:rFonts w:eastAsia="Times New Roman" w:cs="Times New Roman"/>
          <w:szCs w:val="20"/>
          <w:u w:val="single"/>
        </w:rPr>
        <w:tab/>
        <w:t>Date</w:t>
      </w:r>
      <w:r w:rsidRPr="002C4CDE">
        <w:rPr>
          <w:rFonts w:eastAsia="Times New Roman" w:cs="Times New Roman"/>
          <w:szCs w:val="20"/>
          <w:u w:val="single"/>
        </w:rPr>
        <w:tab/>
        <w:t>Body</w:t>
      </w:r>
      <w:r w:rsidRPr="002C4CDE">
        <w:rPr>
          <w:rFonts w:eastAsia="Times New Roman" w:cs="Times New Roman"/>
          <w:szCs w:val="20"/>
          <w:u w:val="single"/>
        </w:rPr>
        <w:tab/>
        <w:t>Action Description with journal page number</w:t>
      </w:r>
      <w:r w:rsidRPr="002C4CDE">
        <w:rPr>
          <w:rFonts w:eastAsia="Times New Roman" w:cs="Times New Roman"/>
          <w:szCs w:val="20"/>
          <w:u w:val="single"/>
        </w:rPr>
        <w:tab/>
      </w:r>
    </w:p>
    <w:p w14:paraId="77A8E0D2"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Introduced and read first time (</w:t>
      </w:r>
      <w:hyperlink r:id="rId7" w:history="1">
        <w:r w:rsidRPr="000C0C34">
          <w:rPr>
            <w:rStyle w:val="Hyperlink"/>
            <w:rFonts w:cs="Times New Roman"/>
          </w:rPr>
          <w:t>House Journal</w:t>
        </w:r>
        <w:r w:rsidRPr="000C0C34">
          <w:rPr>
            <w:rStyle w:val="Hyperlink"/>
            <w:rFonts w:cs="Times New Roman"/>
          </w:rPr>
          <w:noBreakHyphen/>
          <w:t>page 37</w:t>
        </w:r>
      </w:hyperlink>
      <w:r>
        <w:rPr>
          <w:rFonts w:cs="Times New Roman"/>
        </w:rPr>
        <w:t>)</w:t>
      </w:r>
    </w:p>
    <w:p w14:paraId="24C5DF89"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 xml:space="preserve">Referred to Committee on </w:t>
      </w:r>
      <w:r w:rsidRPr="000C0C34">
        <w:rPr>
          <w:rFonts w:cs="Times New Roman"/>
          <w:b/>
        </w:rPr>
        <w:t>Labor, Commerce and Industry</w:t>
      </w:r>
      <w:r>
        <w:rPr>
          <w:rFonts w:cs="Times New Roman"/>
        </w:rPr>
        <w:t xml:space="preserve"> (</w:t>
      </w:r>
      <w:hyperlink r:id="rId8" w:history="1">
        <w:r w:rsidRPr="000C0C34">
          <w:rPr>
            <w:rStyle w:val="Hyperlink"/>
            <w:rFonts w:cs="Times New Roman"/>
          </w:rPr>
          <w:t>House Journal</w:t>
        </w:r>
        <w:r w:rsidRPr="000C0C34">
          <w:rPr>
            <w:rStyle w:val="Hyperlink"/>
            <w:rFonts w:cs="Times New Roman"/>
          </w:rPr>
          <w:noBreakHyphen/>
          <w:t>page 37</w:t>
        </w:r>
      </w:hyperlink>
      <w:bookmarkStart w:id="0" w:name="_GoBack"/>
      <w:bookmarkEnd w:id="0"/>
      <w:r>
        <w:rPr>
          <w:rFonts w:cs="Times New Roman"/>
        </w:rPr>
        <w:t>)</w:t>
      </w:r>
    </w:p>
    <w:p w14:paraId="561D5F5D"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Committee report: Favorable </w:t>
      </w:r>
      <w:r w:rsidRPr="000C0C34">
        <w:rPr>
          <w:rFonts w:cs="Times New Roman"/>
          <w:b/>
        </w:rPr>
        <w:t>Labor, Commerce and Industry</w:t>
      </w:r>
      <w:r>
        <w:rPr>
          <w:rFonts w:cs="Times New Roman"/>
        </w:rPr>
        <w:t xml:space="preserve"> (</w:t>
      </w:r>
      <w:hyperlink r:id="rId9" w:history="1">
        <w:r w:rsidRPr="000C0C34">
          <w:rPr>
            <w:rStyle w:val="Hyperlink"/>
            <w:rFonts w:cs="Times New Roman"/>
          </w:rPr>
          <w:t>House Journal</w:t>
        </w:r>
        <w:r w:rsidRPr="000C0C34">
          <w:rPr>
            <w:rStyle w:val="Hyperlink"/>
            <w:rFonts w:cs="Times New Roman"/>
          </w:rPr>
          <w:noBreakHyphen/>
          <w:t>page 15</w:t>
        </w:r>
      </w:hyperlink>
      <w:r>
        <w:rPr>
          <w:rFonts w:cs="Times New Roman"/>
        </w:rPr>
        <w:t>)</w:t>
      </w:r>
    </w:p>
    <w:p w14:paraId="3FE04F66"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r>
      <w:r>
        <w:rPr>
          <w:rFonts w:cs="Times New Roman"/>
        </w:rPr>
        <w:tab/>
        <w:t>Scrivener's error corrected</w:t>
      </w:r>
    </w:p>
    <w:p w14:paraId="1B52C304"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second time (</w:t>
      </w:r>
      <w:hyperlink r:id="rId10" w:history="1">
        <w:r w:rsidRPr="000C0C34">
          <w:rPr>
            <w:rStyle w:val="Hyperlink"/>
            <w:rFonts w:cs="Times New Roman"/>
          </w:rPr>
          <w:t>House Journal</w:t>
        </w:r>
        <w:r w:rsidRPr="000C0C34">
          <w:rPr>
            <w:rStyle w:val="Hyperlink"/>
            <w:rFonts w:cs="Times New Roman"/>
          </w:rPr>
          <w:noBreakHyphen/>
          <w:t>page 21</w:t>
        </w:r>
      </w:hyperlink>
      <w:r>
        <w:rPr>
          <w:rFonts w:cs="Times New Roman"/>
        </w:rPr>
        <w:t>)</w:t>
      </w:r>
    </w:p>
    <w:p w14:paraId="51102474"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1" w:history="1">
        <w:r w:rsidRPr="000C0C34">
          <w:rPr>
            <w:rStyle w:val="Hyperlink"/>
            <w:rFonts w:cs="Times New Roman"/>
          </w:rPr>
          <w:t>House Journal</w:t>
        </w:r>
        <w:r w:rsidRPr="000C0C34">
          <w:rPr>
            <w:rStyle w:val="Hyperlink"/>
            <w:rFonts w:cs="Times New Roman"/>
          </w:rPr>
          <w:noBreakHyphen/>
          <w:t>page 21</w:t>
        </w:r>
      </w:hyperlink>
      <w:r>
        <w:rPr>
          <w:rFonts w:cs="Times New Roman"/>
        </w:rPr>
        <w:t>)</w:t>
      </w:r>
    </w:p>
    <w:p w14:paraId="7353523A"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Read third time and sent to Senate (</w:t>
      </w:r>
      <w:hyperlink r:id="rId12" w:history="1">
        <w:r w:rsidRPr="000C0C34">
          <w:rPr>
            <w:rStyle w:val="Hyperlink"/>
            <w:rFonts w:cs="Times New Roman"/>
          </w:rPr>
          <w:t>House Journal</w:t>
        </w:r>
        <w:r w:rsidRPr="000C0C34">
          <w:rPr>
            <w:rStyle w:val="Hyperlink"/>
            <w:rFonts w:cs="Times New Roman"/>
          </w:rPr>
          <w:noBreakHyphen/>
          <w:t>page 6</w:t>
        </w:r>
      </w:hyperlink>
      <w:r>
        <w:rPr>
          <w:rFonts w:cs="Times New Roman"/>
        </w:rPr>
        <w:t>)</w:t>
      </w:r>
    </w:p>
    <w:p w14:paraId="5E865DF9"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Introduced and read first time (</w:t>
      </w:r>
      <w:hyperlink r:id="rId13" w:history="1">
        <w:r w:rsidRPr="000C0C34">
          <w:rPr>
            <w:rStyle w:val="Hyperlink"/>
            <w:rFonts w:cs="Times New Roman"/>
          </w:rPr>
          <w:t>Senate Journal</w:t>
        </w:r>
        <w:r w:rsidRPr="000C0C34">
          <w:rPr>
            <w:rStyle w:val="Hyperlink"/>
            <w:rFonts w:cs="Times New Roman"/>
          </w:rPr>
          <w:noBreakHyphen/>
          <w:t>page 6</w:t>
        </w:r>
      </w:hyperlink>
      <w:r>
        <w:rPr>
          <w:rFonts w:cs="Times New Roman"/>
        </w:rPr>
        <w:t>)</w:t>
      </w:r>
    </w:p>
    <w:p w14:paraId="63D010AB"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 xml:space="preserve">Referred to Committee on </w:t>
      </w:r>
      <w:r w:rsidRPr="000C0C34">
        <w:rPr>
          <w:rFonts w:cs="Times New Roman"/>
          <w:b/>
        </w:rPr>
        <w:t>Banking and Insurance</w:t>
      </w:r>
      <w:r>
        <w:rPr>
          <w:rFonts w:cs="Times New Roman"/>
        </w:rPr>
        <w:t xml:space="preserve"> (</w:t>
      </w:r>
      <w:hyperlink r:id="rId14" w:history="1">
        <w:r w:rsidRPr="000C0C34">
          <w:rPr>
            <w:rStyle w:val="Hyperlink"/>
            <w:rFonts w:cs="Times New Roman"/>
          </w:rPr>
          <w:t>Senate Journal</w:t>
        </w:r>
        <w:r w:rsidRPr="000C0C34">
          <w:rPr>
            <w:rStyle w:val="Hyperlink"/>
            <w:rFonts w:cs="Times New Roman"/>
          </w:rPr>
          <w:noBreakHyphen/>
          <w:t>page 6</w:t>
        </w:r>
      </w:hyperlink>
      <w:r>
        <w:rPr>
          <w:rFonts w:cs="Times New Roman"/>
        </w:rPr>
        <w:t>)</w:t>
      </w:r>
    </w:p>
    <w:p w14:paraId="401C4996"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Senate</w:t>
      </w:r>
      <w:r>
        <w:rPr>
          <w:rFonts w:cs="Times New Roman"/>
        </w:rPr>
        <w:tab/>
        <w:t xml:space="preserve">Committee report: Favorable </w:t>
      </w:r>
      <w:r w:rsidRPr="000C0C34">
        <w:rPr>
          <w:rFonts w:cs="Times New Roman"/>
          <w:b/>
        </w:rPr>
        <w:t>Banking and Insurance</w:t>
      </w:r>
      <w:r>
        <w:rPr>
          <w:rFonts w:cs="Times New Roman"/>
        </w:rPr>
        <w:t xml:space="preserve"> (</w:t>
      </w:r>
      <w:hyperlink r:id="rId15" w:history="1">
        <w:r w:rsidRPr="000C0C34">
          <w:rPr>
            <w:rStyle w:val="Hyperlink"/>
            <w:rFonts w:cs="Times New Roman"/>
          </w:rPr>
          <w:t>Senate Journal</w:t>
        </w:r>
        <w:r w:rsidRPr="000C0C34">
          <w:rPr>
            <w:rStyle w:val="Hyperlink"/>
            <w:rFonts w:cs="Times New Roman"/>
          </w:rPr>
          <w:noBreakHyphen/>
          <w:t>page 8</w:t>
        </w:r>
      </w:hyperlink>
      <w:r>
        <w:rPr>
          <w:rFonts w:cs="Times New Roman"/>
        </w:rPr>
        <w:t>)</w:t>
      </w:r>
    </w:p>
    <w:p w14:paraId="183FD4B0"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second time (</w:t>
      </w:r>
      <w:hyperlink r:id="rId16" w:history="1">
        <w:r w:rsidRPr="000C0C34">
          <w:rPr>
            <w:rStyle w:val="Hyperlink"/>
            <w:rFonts w:cs="Times New Roman"/>
          </w:rPr>
          <w:t>Senate Journal</w:t>
        </w:r>
        <w:r w:rsidRPr="000C0C34">
          <w:rPr>
            <w:rStyle w:val="Hyperlink"/>
            <w:rFonts w:cs="Times New Roman"/>
          </w:rPr>
          <w:noBreakHyphen/>
          <w:t>page 26</w:t>
        </w:r>
      </w:hyperlink>
      <w:r>
        <w:rPr>
          <w:rFonts w:cs="Times New Roman"/>
        </w:rPr>
        <w:t>)</w:t>
      </w:r>
    </w:p>
    <w:p w14:paraId="63CF2B91"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7" w:history="1">
        <w:r w:rsidRPr="000C0C34">
          <w:rPr>
            <w:rStyle w:val="Hyperlink"/>
            <w:rFonts w:cs="Times New Roman"/>
          </w:rPr>
          <w:t>Senate Journal</w:t>
        </w:r>
        <w:r w:rsidRPr="000C0C34">
          <w:rPr>
            <w:rStyle w:val="Hyperlink"/>
            <w:rFonts w:cs="Times New Roman"/>
          </w:rPr>
          <w:noBreakHyphen/>
          <w:t>page 26</w:t>
        </w:r>
      </w:hyperlink>
      <w:r>
        <w:rPr>
          <w:rFonts w:cs="Times New Roman"/>
        </w:rPr>
        <w:t>)</w:t>
      </w:r>
    </w:p>
    <w:p w14:paraId="1DC74C65"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enrolled (</w:t>
      </w:r>
      <w:hyperlink r:id="rId18" w:history="1">
        <w:r w:rsidRPr="000C0C34">
          <w:rPr>
            <w:rStyle w:val="Hyperlink"/>
            <w:rFonts w:cs="Times New Roman"/>
          </w:rPr>
          <w:t>Senate Journal</w:t>
        </w:r>
        <w:r w:rsidRPr="000C0C34">
          <w:rPr>
            <w:rStyle w:val="Hyperlink"/>
            <w:rFonts w:cs="Times New Roman"/>
          </w:rPr>
          <w:noBreakHyphen/>
          <w:t>page 43</w:t>
        </w:r>
      </w:hyperlink>
      <w:r>
        <w:rPr>
          <w:rFonts w:cs="Times New Roman"/>
        </w:rPr>
        <w:t>)</w:t>
      </w:r>
    </w:p>
    <w:p w14:paraId="01CA75B1"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223 (</w:t>
      </w:r>
      <w:hyperlink r:id="rId19" w:history="1">
        <w:r w:rsidRPr="000C0C34">
          <w:rPr>
            <w:rStyle w:val="Hyperlink"/>
            <w:rFonts w:cs="Times New Roman"/>
          </w:rPr>
          <w:t>Senate Journal</w:t>
        </w:r>
        <w:r w:rsidRPr="000C0C34">
          <w:rPr>
            <w:rStyle w:val="Hyperlink"/>
            <w:rFonts w:cs="Times New Roman"/>
          </w:rPr>
          <w:noBreakHyphen/>
          <w:t>page 227</w:t>
        </w:r>
      </w:hyperlink>
      <w:r>
        <w:rPr>
          <w:rFonts w:cs="Times New Roman"/>
        </w:rPr>
        <w:t>)</w:t>
      </w:r>
    </w:p>
    <w:p w14:paraId="4F11C737"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7814607F"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40C6DEF9" w14:textId="77777777" w:rsidR="008617B6" w:rsidRDefault="008617B6" w:rsidP="008617B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197</w:t>
      </w:r>
    </w:p>
    <w:p w14:paraId="2864D398" w14:textId="77777777" w:rsidR="008617B6" w:rsidRDefault="008617B6" w:rsidP="008617B6">
      <w:pPr>
        <w:widowControl w:val="0"/>
        <w:tabs>
          <w:tab w:val="right" w:pos="1008"/>
          <w:tab w:val="left" w:pos="1152"/>
          <w:tab w:val="left" w:pos="1872"/>
          <w:tab w:val="left" w:pos="9187"/>
        </w:tabs>
        <w:ind w:left="2088" w:hanging="2088"/>
        <w:rPr>
          <w:rFonts w:cs="Times New Roman"/>
        </w:rPr>
      </w:pPr>
    </w:p>
    <w:p w14:paraId="748CAA31" w14:textId="77777777" w:rsidR="002C4CDE" w:rsidRPr="002C4CDE" w:rsidRDefault="002C4CDE" w:rsidP="002C4CDE">
      <w:pPr>
        <w:widowControl w:val="0"/>
        <w:tabs>
          <w:tab w:val="right" w:pos="1008"/>
          <w:tab w:val="left" w:pos="1152"/>
          <w:tab w:val="left" w:pos="1872"/>
          <w:tab w:val="left" w:pos="9187"/>
        </w:tabs>
        <w:ind w:left="2088" w:hanging="2088"/>
        <w:rPr>
          <w:rFonts w:eastAsia="Times New Roman" w:cs="Times New Roman"/>
          <w:szCs w:val="20"/>
        </w:rPr>
      </w:pPr>
      <w:r w:rsidRPr="002C4CDE">
        <w:rPr>
          <w:rFonts w:eastAsia="Times New Roman" w:cs="Times New Roman"/>
          <w:szCs w:val="20"/>
        </w:rPr>
        <w:t xml:space="preserve">View the latest </w:t>
      </w:r>
      <w:hyperlink r:id="rId20" w:history="1">
        <w:r w:rsidRPr="002C4CDE">
          <w:rPr>
            <w:rFonts w:eastAsia="Times New Roman" w:cs="Times New Roman"/>
            <w:color w:val="0000FF" w:themeColor="hyperlink"/>
            <w:szCs w:val="20"/>
            <w:u w:val="single"/>
          </w:rPr>
          <w:t>legislative information</w:t>
        </w:r>
      </w:hyperlink>
      <w:r w:rsidRPr="002C4CDE">
        <w:rPr>
          <w:rFonts w:eastAsia="Times New Roman" w:cs="Times New Roman"/>
          <w:szCs w:val="20"/>
        </w:rPr>
        <w:t xml:space="preserve"> at the website</w:t>
      </w:r>
    </w:p>
    <w:p w14:paraId="536A00D4" w14:textId="77777777" w:rsidR="002C4CDE" w:rsidRPr="002C4CDE" w:rsidRDefault="002C4CDE" w:rsidP="002C4CDE">
      <w:pPr>
        <w:widowControl w:val="0"/>
        <w:tabs>
          <w:tab w:val="right" w:pos="1008"/>
          <w:tab w:val="left" w:pos="1152"/>
          <w:tab w:val="left" w:pos="1872"/>
          <w:tab w:val="left" w:pos="9187"/>
        </w:tabs>
        <w:ind w:left="2088" w:hanging="2088"/>
        <w:rPr>
          <w:rFonts w:eastAsia="Times New Roman" w:cs="Times New Roman"/>
          <w:szCs w:val="20"/>
        </w:rPr>
      </w:pPr>
    </w:p>
    <w:p w14:paraId="24AE9591" w14:textId="77777777" w:rsidR="002C4CDE" w:rsidRPr="002C4CDE" w:rsidRDefault="002C4CDE" w:rsidP="002C4CDE">
      <w:pPr>
        <w:widowControl w:val="0"/>
        <w:tabs>
          <w:tab w:val="right" w:pos="1008"/>
          <w:tab w:val="left" w:pos="1152"/>
          <w:tab w:val="left" w:pos="1872"/>
          <w:tab w:val="left" w:pos="9187"/>
        </w:tabs>
        <w:ind w:left="2088" w:hanging="2088"/>
        <w:rPr>
          <w:rFonts w:eastAsia="Times New Roman" w:cs="Times New Roman"/>
          <w:szCs w:val="20"/>
        </w:rPr>
      </w:pPr>
    </w:p>
    <w:p w14:paraId="58AC9944"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CDE">
        <w:rPr>
          <w:rFonts w:eastAsia="Times New Roman" w:cs="Times New Roman"/>
          <w:b/>
          <w:szCs w:val="20"/>
        </w:rPr>
        <w:t>VERSIONS OF THIS BILL</w:t>
      </w:r>
    </w:p>
    <w:p w14:paraId="7080AB61" w14:textId="77777777" w:rsidR="002C4CDE" w:rsidRPr="002C4CDE" w:rsidRDefault="002C4CDE"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33B94BD" w14:textId="704779DC" w:rsidR="002C4CDE" w:rsidRPr="002C4CDE" w:rsidRDefault="00325D5B" w:rsidP="002C4C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C4CDE" w:rsidRPr="002C4CDE">
          <w:rPr>
            <w:rFonts w:eastAsia="Times New Roman" w:cs="Times New Roman"/>
            <w:color w:val="0000FF" w:themeColor="hyperlink"/>
            <w:szCs w:val="20"/>
            <w:u w:val="single"/>
          </w:rPr>
          <w:t>2/16/2022</w:t>
        </w:r>
      </w:hyperlink>
    </w:p>
    <w:p w14:paraId="6FC5CABC" w14:textId="011AE436" w:rsidR="002C4CDE" w:rsidRPr="002C4CDE" w:rsidRDefault="00325D5B" w:rsidP="002C4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C4CDE" w:rsidRPr="002C4CDE">
          <w:rPr>
            <w:rFonts w:eastAsia="Times New Roman" w:cs="Times New Roman"/>
            <w:color w:val="0000FF" w:themeColor="hyperlink"/>
            <w:szCs w:val="20"/>
            <w:u w:val="single"/>
          </w:rPr>
          <w:t>2/24/2022</w:t>
        </w:r>
      </w:hyperlink>
    </w:p>
    <w:p w14:paraId="11FF715B" w14:textId="7FB1A5AF" w:rsidR="002C4CDE" w:rsidRPr="002C4CDE" w:rsidRDefault="00325D5B" w:rsidP="002C4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C4CDE" w:rsidRPr="002C4CDE">
          <w:rPr>
            <w:rFonts w:eastAsia="Times New Roman" w:cs="Times New Roman"/>
            <w:color w:val="0000FF" w:themeColor="hyperlink"/>
            <w:szCs w:val="20"/>
            <w:u w:val="single"/>
          </w:rPr>
          <w:t>2/28/2022</w:t>
        </w:r>
      </w:hyperlink>
    </w:p>
    <w:p w14:paraId="0FAC68A2" w14:textId="5D2E2202" w:rsidR="002C4CDE" w:rsidRPr="002C4CDE" w:rsidRDefault="00325D5B" w:rsidP="002C4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C4CDE" w:rsidRPr="002C4CDE">
          <w:rPr>
            <w:rFonts w:eastAsia="Times New Roman" w:cs="Times New Roman"/>
            <w:color w:val="0000FF" w:themeColor="hyperlink"/>
            <w:szCs w:val="20"/>
            <w:u w:val="single"/>
          </w:rPr>
          <w:t>4/26/2022</w:t>
        </w:r>
      </w:hyperlink>
    </w:p>
    <w:p w14:paraId="6436C7A5" w14:textId="77777777" w:rsidR="002C4CDE" w:rsidRPr="002C4CDE" w:rsidRDefault="002C4CDE" w:rsidP="002C4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95E28D3" w14:textId="77777777" w:rsidR="002C4CDE" w:rsidRDefault="002C4CDE" w:rsidP="002C4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4CDE" w:rsidSect="002C4CDE">
          <w:pgSz w:w="12240" w:h="15840" w:code="1"/>
          <w:pgMar w:top="1080" w:right="1440" w:bottom="1080" w:left="1440" w:header="720" w:footer="720" w:gutter="0"/>
          <w:pgNumType w:start="1"/>
          <w:cols w:space="720"/>
          <w:noEndnote/>
          <w:docGrid w:linePitch="360"/>
        </w:sectPr>
      </w:pPr>
    </w:p>
    <w:p w14:paraId="435D9365"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(A197, R223, H4983)</w:t>
      </w:r>
    </w:p>
    <w:p w14:paraId="77EC719D" w14:textId="77777777" w:rsidR="00176EC7" w:rsidRPr="008836A5"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44CF91C4" w14:textId="77777777" w:rsidR="00176EC7" w:rsidRPr="002C4CDE"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4CDE">
        <w:rPr>
          <w:rFonts w:cs="Times New Roman"/>
          <w:b/>
          <w:color w:val="000000" w:themeColor="text1"/>
          <w:szCs w:val="36"/>
        </w:rPr>
        <w:t xml:space="preserve">AN ACT </w:t>
      </w:r>
      <w:r w:rsidRPr="002C4CDE">
        <w:rPr>
          <w:rFonts w:cs="Times New Roman"/>
          <w:b/>
          <w:color w:val="000000" w:themeColor="text1"/>
          <w:u w:color="000000" w:themeColor="text1"/>
        </w:rPr>
        <w:t>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2C4CDE">
        <w:rPr>
          <w:rFonts w:cs="Times New Roman"/>
          <w:b/>
          <w:color w:val="000000" w:themeColor="text1"/>
          <w:u w:color="000000" w:themeColor="text1"/>
        </w:rPr>
        <w:noBreakHyphen/>
        <w:t>11</w:t>
      </w:r>
      <w:r w:rsidRPr="002C4CDE">
        <w:rPr>
          <w:rFonts w:cs="Times New Roman"/>
          <w:b/>
          <w:color w:val="000000" w:themeColor="text1"/>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14:paraId="6A17DE3F"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30B6131E"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2AD4">
        <w:rPr>
          <w:rFonts w:cs="Times New Roman"/>
        </w:rPr>
        <w:t>Be it enacted by the General Assembly of the State of South Carolina:</w:t>
      </w:r>
    </w:p>
    <w:p w14:paraId="540845E1"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C6DBCBA"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Definition of “reservation deposit”</w:t>
      </w:r>
    </w:p>
    <w:p w14:paraId="78EE0C4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F5AD2E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1.</w:t>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20 of the 1976 Code is amended by adding an appropriately numbered item to read:</w:t>
      </w:r>
    </w:p>
    <w:p w14:paraId="3A5A5F6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80AF10C"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 )</w:t>
      </w:r>
      <w:r w:rsidRPr="00452AD4">
        <w:rPr>
          <w:rFonts w:cs="Times New Roman"/>
          <w:color w:val="000000" w:themeColor="text1"/>
          <w:u w:color="000000" w:themeColor="text1"/>
        </w:rPr>
        <w:tab/>
        <w:t>‘Reservation deposit’ means a portion of an entrance fee paid in advance of signing a continuing care contract.”</w:t>
      </w:r>
    </w:p>
    <w:p w14:paraId="16CE3227"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F66BF02"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Continuing care retirement community licensing</w:t>
      </w:r>
    </w:p>
    <w:p w14:paraId="23BA9C7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910B0D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2.</w:t>
      </w:r>
      <w:r w:rsidRPr="00452AD4">
        <w:rPr>
          <w:rFonts w:cs="Times New Roman"/>
          <w:color w:val="000000" w:themeColor="text1"/>
          <w:u w:color="000000" w:themeColor="text1"/>
        </w:rPr>
        <w:tab/>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 of the 1976 Code is amended to read:</w:t>
      </w:r>
    </w:p>
    <w:p w14:paraId="205CB90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033906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w:t>
      </w:r>
      <w:r w:rsidRPr="00452AD4">
        <w:rPr>
          <w:rFonts w:cs="Times New Roman"/>
          <w:color w:val="000000" w:themeColor="text1"/>
          <w:u w:color="000000" w:themeColor="text1"/>
        </w:rPr>
        <w:tab/>
        <w:t>(A)</w:t>
      </w:r>
      <w:r w:rsidRPr="00452AD4">
        <w:rPr>
          <w:rFonts w:cs="Times New Roman"/>
          <w:color w:val="000000" w:themeColor="text1"/>
          <w:u w:color="000000" w:themeColor="text1"/>
        </w:rPr>
        <w:tab/>
        <w:t>A continuing care retirement community must not be operated or advertised, and a reservation deposit or an entrance fee must not be collected unless the appropriate license is obtained first from the department as provided in this chapter and any regulation promulgated pursuant to it. Unless otherwise specified, all references to a license in this chapter include both a preliminary license and a final license. The department shall establish reasonable licensing fees not to exceed the cost of administering this chapter. Licenses issued under this chapter expire on August thirty</w:t>
      </w:r>
      <w:r>
        <w:rPr>
          <w:rFonts w:cs="Times New Roman"/>
          <w:color w:val="000000" w:themeColor="text1"/>
          <w:u w:color="000000" w:themeColor="text1"/>
        </w:rPr>
        <w:noBreakHyphen/>
      </w:r>
      <w:r w:rsidRPr="00452AD4">
        <w:rPr>
          <w:rFonts w:cs="Times New Roman"/>
          <w:color w:val="000000" w:themeColor="text1"/>
          <w:u w:color="000000" w:themeColor="text1"/>
        </w:rPr>
        <w:t>first of each year. Licenses may be issued only for the premises and persons named in the application and are not transferable or assignable.</w:t>
      </w:r>
    </w:p>
    <w:p w14:paraId="7538464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(B)</w:t>
      </w:r>
      <w:r w:rsidRPr="00452AD4">
        <w:rPr>
          <w:rFonts w:cs="Times New Roman"/>
          <w:color w:val="000000" w:themeColor="text1"/>
          <w:u w:color="000000" w:themeColor="text1"/>
        </w:rPr>
        <w:tab/>
        <w:t>Applications for licenses must be in a form and under conditions as may be prescribed by the department and must set forth:</w:t>
      </w:r>
    </w:p>
    <w:p w14:paraId="0AEC800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the name and business address of the operator and a statement of whether the operator is a partnership, corporation, or other type of legal entity;</w:t>
      </w:r>
    </w:p>
    <w:p w14:paraId="2DF8B15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Pr>
          <w:rFonts w:cs="Times New Roman"/>
          <w:color w:val="000000" w:themeColor="text1"/>
          <w:u w:color="000000" w:themeColor="text1"/>
        </w:rPr>
        <w:noBreakHyphen/>
      </w:r>
      <w:r w:rsidRPr="00452AD4">
        <w:rPr>
          <w:rFonts w:cs="Times New Roman"/>
          <w:color w:val="000000" w:themeColor="text1"/>
          <w:u w:color="000000" w:themeColor="text1"/>
        </w:rPr>
        <w:t>to</w:t>
      </w:r>
      <w:r>
        <w:rPr>
          <w:rFonts w:cs="Times New Roman"/>
          <w:color w:val="000000" w:themeColor="text1"/>
          <w:u w:color="000000" w:themeColor="text1"/>
        </w:rPr>
        <w:noBreakHyphen/>
      </w:r>
      <w:r w:rsidRPr="00452AD4">
        <w:rPr>
          <w:rFonts w:cs="Times New Roman"/>
          <w:color w:val="000000" w:themeColor="text1"/>
          <w:u w:color="000000" w:themeColor="text1"/>
        </w:rPr>
        <w:t>day basis, and a description of these persons’ interests in or occupations with the operator. The following information on all persons named in response to this item is required:</w:t>
      </w:r>
    </w:p>
    <w:p w14:paraId="38B70DF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a description of the business experience of the person, if any, in the operation or management of similar facilities;</w:t>
      </w:r>
    </w:p>
    <w:p w14:paraId="619EEC7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 xml:space="preserve">the name and address of any professional service, firm, association, trust, partnership, or corporation in which this person has, or which has in this person, a five percent or greater interest and which is </w:t>
      </w:r>
      <w:r w:rsidRPr="00452AD4">
        <w:rPr>
          <w:rFonts w:cs="Times New Roman"/>
          <w:color w:val="000000" w:themeColor="text1"/>
          <w:u w:color="000000" w:themeColor="text1"/>
        </w:rPr>
        <w:lastRenderedPageBreak/>
        <w:t>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14:paraId="28E3164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(c)</w:t>
      </w:r>
      <w:r w:rsidRPr="00452AD4">
        <w:rPr>
          <w:rFonts w:cs="Times New Roman"/>
          <w:color w:val="000000" w:themeColor="text1"/>
          <w:u w:color="000000" w:themeColor="text1"/>
        </w:rPr>
        <w:tab/>
        <w:t>a description of any matter in which the person:</w:t>
      </w:r>
    </w:p>
    <w:p w14:paraId="2ADA9BB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 xml:space="preserve">(i) </w:t>
      </w:r>
      <w:r w:rsidRPr="00452AD4">
        <w:rPr>
          <w:rFonts w:cs="Times New Roman"/>
          <w:color w:val="000000" w:themeColor="text1"/>
          <w:u w:color="000000" w:themeColor="text1"/>
        </w:rPr>
        <w:tab/>
        <w:t>has been convicted of a felony or pleaded nolo contendere to a felony charge, or held liable or enjoined in a civil action by final judgment, if the felony or civil action involved fraud, embezzlement, fraudulent conversion, or misappropriation of property; or</w:t>
      </w:r>
    </w:p>
    <w:p w14:paraId="1F94102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(ii)</w:t>
      </w:r>
      <w:r w:rsidRPr="00452AD4">
        <w:rPr>
          <w:rFonts w:cs="Times New Roman"/>
          <w:color w:val="000000" w:themeColor="text1"/>
          <w:u w:color="000000" w:themeColor="text1"/>
        </w:rPr>
        <w:tab/>
        <w:t>is subject to a currently effective injunctive or restrictive court order or within the past five years, had a state or federal license or permit suspended or revoked as a result of an action brought by a governmental agency or department;</w:t>
      </w:r>
    </w:p>
    <w:p w14:paraId="0E3D424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14:paraId="5F244C8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(4)</w:t>
      </w:r>
      <w:r w:rsidRPr="00452AD4">
        <w:rPr>
          <w:rFonts w:cs="Times New Roman"/>
          <w:color w:val="000000" w:themeColor="text1"/>
          <w:u w:color="000000" w:themeColor="text1"/>
        </w:rPr>
        <w:tab/>
        <w:t>the location and description of the physical property of the facility, existing or proposed, and to the extent proposed, the estimated completion date, whether construction has begun, and the contingencies subject to which construction may be deferred;</w:t>
      </w:r>
    </w:p>
    <w:p w14:paraId="0E997DE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(5)</w:t>
      </w:r>
      <w:r w:rsidRPr="00452AD4">
        <w:rPr>
          <w:rFonts w:cs="Times New Roman"/>
          <w:color w:val="000000" w:themeColor="text1"/>
          <w:u w:color="000000" w:themeColor="text1"/>
        </w:rPr>
        <w:tab/>
        <w:t>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14:paraId="317F3DF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(6)</w:t>
      </w:r>
      <w:r w:rsidRPr="00452AD4">
        <w:rPr>
          <w:rFonts w:cs="Times New Roman"/>
          <w:color w:val="000000" w:themeColor="text1"/>
          <w:u w:color="000000" w:themeColor="text1"/>
        </w:rPr>
        <w:tab/>
        <w:t>a description of all fees required of residents, including the entrance fee and periodic charges, if any. The description must include:</w:t>
      </w:r>
    </w:p>
    <w:p w14:paraId="7977FD2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a statement of the fees charged if the resident marries while at the facility and a statement of the terms concerning the entry of a spouse to the facility and the consequences if the spouse does not meet the requirements for entry;</w:t>
      </w:r>
    </w:p>
    <w:p w14:paraId="0B386AC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the circumstances under which the resident is permitted to remain in the facility if he has financial difficulties;</w:t>
      </w:r>
    </w:p>
    <w:p w14:paraId="0E6566C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(c)</w:t>
      </w:r>
      <w:r w:rsidRPr="00452AD4">
        <w:rPr>
          <w:rFonts w:cs="Times New Roman"/>
          <w:color w:val="000000" w:themeColor="text1"/>
          <w:u w:color="000000" w:themeColor="text1"/>
        </w:rPr>
        <w:tab/>
        <w:t>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14:paraId="6324BE4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lastRenderedPageBreak/>
        <w:tab/>
      </w:r>
      <w:r w:rsidRPr="00452AD4">
        <w:rPr>
          <w:rFonts w:cs="Times New Roman"/>
          <w:color w:val="000000" w:themeColor="text1"/>
          <w:u w:color="000000" w:themeColor="text1"/>
        </w:rPr>
        <w:tab/>
      </w:r>
      <w:r w:rsidRPr="00452AD4">
        <w:rPr>
          <w:rFonts w:cs="Times New Roman"/>
          <w:color w:val="000000" w:themeColor="text1"/>
          <w:u w:color="000000" w:themeColor="text1"/>
        </w:rPr>
        <w:tab/>
        <w:t>(d)</w:t>
      </w:r>
      <w:r w:rsidRPr="00452AD4">
        <w:rPr>
          <w:rFonts w:cs="Times New Roman"/>
          <w:color w:val="000000" w:themeColor="text1"/>
          <w:u w:color="000000" w:themeColor="text1"/>
        </w:rPr>
        <w:tab/>
        <w:t>the conditions under which a living unit occupied by a resident may be made available by the facility to a different or new resident;</w:t>
      </w:r>
    </w:p>
    <w:p w14:paraId="13A394E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(e)</w:t>
      </w:r>
      <w:r w:rsidRPr="00452AD4">
        <w:rPr>
          <w:rFonts w:cs="Times New Roman"/>
          <w:color w:val="000000" w:themeColor="text1"/>
          <w:u w:color="000000" w:themeColor="text1"/>
        </w:rPr>
        <w:tab/>
        <w:t>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14:paraId="05948B8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(7)</w:t>
      </w:r>
      <w:r w:rsidRPr="00452AD4">
        <w:rPr>
          <w:rFonts w:cs="Times New Roman"/>
          <w:color w:val="000000" w:themeColor="text1"/>
          <w:u w:color="000000" w:themeColor="text1"/>
        </w:rPr>
        <w:tab/>
        <w:t>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p>
    <w:p w14:paraId="2EBAA96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(8)</w:t>
      </w:r>
      <w:r w:rsidRPr="00452AD4">
        <w:rPr>
          <w:rFonts w:cs="Times New Roman"/>
          <w:color w:val="000000" w:themeColor="text1"/>
          <w:u w:color="000000" w:themeColor="text1"/>
        </w:rPr>
        <w:tab/>
        <w:t>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14:paraId="4A0237C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(9)</w:t>
      </w:r>
      <w:r w:rsidRPr="00452AD4">
        <w:rPr>
          <w:rFonts w:cs="Times New Roman"/>
          <w:color w:val="000000" w:themeColor="text1"/>
          <w:u w:color="000000" w:themeColor="text1"/>
        </w:rPr>
        <w:tab/>
        <w:t>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included but need not be certified;</w:t>
      </w:r>
    </w:p>
    <w:p w14:paraId="52219E5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(10)</w:t>
      </w:r>
      <w:r w:rsidRPr="00452AD4">
        <w:rPr>
          <w:rFonts w:cs="Times New Roman"/>
          <w:color w:val="000000" w:themeColor="text1"/>
          <w:u w:color="000000" w:themeColor="text1"/>
        </w:rPr>
        <w:tab/>
        <w:t>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14:paraId="6EC41E0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(11)</w:t>
      </w:r>
      <w:r w:rsidRPr="00452AD4">
        <w:rPr>
          <w:rFonts w:cs="Times New Roman"/>
          <w:color w:val="000000" w:themeColor="text1"/>
          <w:u w:color="000000" w:themeColor="text1"/>
        </w:rPr>
        <w:tab/>
        <w:t>if the facility has not begun operations, documentation by the operator that the proposed project is economically feasible, both immediately and long term, and can be accommodated in the patient charge structure without unreasonable increases;</w:t>
      </w:r>
    </w:p>
    <w:p w14:paraId="74C216F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(12)</w:t>
      </w:r>
      <w:r w:rsidRPr="00452AD4">
        <w:rPr>
          <w:rFonts w:cs="Times New Roman"/>
          <w:color w:val="000000" w:themeColor="text1"/>
          <w:u w:color="000000" w:themeColor="text1"/>
        </w:rPr>
        <w:tab/>
        <w:t>the estimated number of residents of the facility to be provided services by the operator pursuant to the contract for continuing care;</w:t>
      </w:r>
    </w:p>
    <w:p w14:paraId="54F7E2C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lastRenderedPageBreak/>
        <w:tab/>
      </w:r>
      <w:r w:rsidRPr="00452AD4">
        <w:rPr>
          <w:rFonts w:cs="Times New Roman"/>
          <w:color w:val="000000" w:themeColor="text1"/>
          <w:u w:color="000000" w:themeColor="text1"/>
        </w:rPr>
        <w:tab/>
        <w:t>(13)</w:t>
      </w:r>
      <w:r w:rsidRPr="00452AD4">
        <w:rPr>
          <w:rFonts w:cs="Times New Roman"/>
          <w:color w:val="000000" w:themeColor="text1"/>
          <w:u w:color="000000" w:themeColor="text1"/>
        </w:rPr>
        <w:tab/>
        <w:t>a copy of the standard form of contract for continuing care used by the operator attached to each disclosure statement;</w:t>
      </w:r>
    </w:p>
    <w:p w14:paraId="44C3355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(14)</w:t>
      </w:r>
      <w:r w:rsidRPr="00452AD4">
        <w:rPr>
          <w:rFonts w:cs="Times New Roman"/>
          <w:color w:val="000000" w:themeColor="text1"/>
          <w:u w:color="000000" w:themeColor="text1"/>
        </w:rPr>
        <w:tab/>
        <w:t>other material information concerning the facility or the operator as the operator wishes to include.</w:t>
      </w:r>
    </w:p>
    <w:p w14:paraId="0FE351E2"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(C)</w:t>
      </w:r>
      <w:r w:rsidRPr="00452AD4">
        <w:rPr>
          <w:rFonts w:cs="Times New Roman"/>
          <w:color w:val="000000" w:themeColor="text1"/>
          <w:u w:color="000000" w:themeColor="text1"/>
        </w:rPr>
        <w:tab/>
        <w:t>In addition to the information required in subsection (B)(1)</w:t>
      </w:r>
      <w:r>
        <w:rPr>
          <w:rFonts w:cs="Times New Roman"/>
          <w:color w:val="000000" w:themeColor="text1"/>
          <w:u w:color="000000" w:themeColor="text1"/>
        </w:rPr>
        <w:noBreakHyphen/>
      </w:r>
      <w:r w:rsidRPr="00452AD4">
        <w:rPr>
          <w:rFonts w:cs="Times New Roman"/>
          <w:color w:val="000000" w:themeColor="text1"/>
          <w:u w:color="000000" w:themeColor="text1"/>
        </w:rPr>
        <w:t>(8) and (11)</w:t>
      </w:r>
      <w:r>
        <w:rPr>
          <w:rFonts w:cs="Times New Roman"/>
          <w:color w:val="000000" w:themeColor="text1"/>
          <w:u w:color="000000" w:themeColor="text1"/>
        </w:rPr>
        <w:noBreakHyphen/>
      </w:r>
      <w:r w:rsidRPr="00452AD4">
        <w:rPr>
          <w:rFonts w:cs="Times New Roman"/>
          <w:color w:val="000000" w:themeColor="text1"/>
          <w:u w:color="000000" w:themeColor="text1"/>
        </w:rPr>
        <w:t>(14), an application for a preliminary license must set forth:</w:t>
      </w:r>
    </w:p>
    <w:p w14:paraId="1EC912C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a copy of the reservation agreement used to collect reservation deposits;</w:t>
      </w:r>
    </w:p>
    <w:p w14:paraId="22E3628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a copy of the applicant’s escrow agreement with a trust institution; and</w:t>
      </w:r>
    </w:p>
    <w:p w14:paraId="0847618F"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a representative sample of any advertisements used or to be used for the facility.”</w:t>
      </w:r>
    </w:p>
    <w:p w14:paraId="35766B3D"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AFCD728"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Continuing care retirement community contracts and agreements</w:t>
      </w:r>
    </w:p>
    <w:p w14:paraId="70D6E4C2"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F12CE6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 3.</w:t>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35 of the 1976 Code is amended to read:</w:t>
      </w:r>
    </w:p>
    <w:p w14:paraId="0F851CD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0B0FCDE"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35.</w:t>
      </w:r>
      <w:r w:rsidRPr="00452AD4">
        <w:rPr>
          <w:rFonts w:cs="Times New Roman"/>
          <w:color w:val="000000" w:themeColor="text1"/>
          <w:u w:color="000000" w:themeColor="text1"/>
        </w:rPr>
        <w:tab/>
        <w:t>(A)</w:t>
      </w:r>
      <w:r w:rsidRPr="00452AD4">
        <w:rPr>
          <w:rFonts w:cs="Times New Roman"/>
          <w:color w:val="000000" w:themeColor="text1"/>
          <w:u w:color="000000" w:themeColor="text1"/>
        </w:rPr>
        <w:tab/>
        <w:t>A continuing care contract and a reservation agreement must be in writing and must meet minimum standards for readability established by the department. Standards must include, but are not limited to, standards on general organization of text, text readability, type size, type style, type spacing, and general appearance of the contract. The contracts and agreements shall, at a minimum, be:</w:t>
      </w:r>
    </w:p>
    <w:p w14:paraId="20E17511"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printed in one hundred percent black ink with the exception of the operator’s name and business logo;</w:t>
      </w:r>
    </w:p>
    <w:p w14:paraId="0454CB4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printed on stock that is at least eleven inches high and seven and one quarter inches wide;</w:t>
      </w:r>
    </w:p>
    <w:p w14:paraId="4407D17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in print no smaller than ten</w:t>
      </w:r>
      <w:r>
        <w:rPr>
          <w:rFonts w:cs="Times New Roman"/>
          <w:color w:val="000000" w:themeColor="text1"/>
          <w:u w:color="000000" w:themeColor="text1"/>
        </w:rPr>
        <w:noBreakHyphen/>
      </w:r>
      <w:r w:rsidRPr="00452AD4">
        <w:rPr>
          <w:rFonts w:cs="Times New Roman"/>
          <w:color w:val="000000" w:themeColor="text1"/>
          <w:u w:color="000000" w:themeColor="text1"/>
        </w:rPr>
        <w:t>point type; and</w:t>
      </w:r>
    </w:p>
    <w:p w14:paraId="7AFC139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(4)</w:t>
      </w:r>
      <w:r w:rsidRPr="00452AD4">
        <w:rPr>
          <w:rFonts w:cs="Times New Roman"/>
          <w:color w:val="000000" w:themeColor="text1"/>
          <w:u w:color="000000" w:themeColor="text1"/>
        </w:rPr>
        <w:tab/>
        <w:t>written in language customarily used and understood by people in the conduct of their personal affairs.</w:t>
      </w:r>
    </w:p>
    <w:p w14:paraId="338971E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(B)(1)</w:t>
      </w:r>
      <w:r w:rsidRPr="00452AD4">
        <w:rPr>
          <w:rFonts w:cs="Times New Roman"/>
          <w:color w:val="000000" w:themeColor="text1"/>
          <w:u w:color="000000" w:themeColor="text1"/>
        </w:rPr>
        <w:tab/>
        <w:t>A reservation agreement must be entered into prior to the receipt of a reservation deposit and shall, at a minimum, include:</w:t>
      </w:r>
    </w:p>
    <w:p w14:paraId="3AE3C57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the location, name, and address of the facility or proposed facility;</w:t>
      </w:r>
    </w:p>
    <w:p w14:paraId="4F1C686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information pursuant to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30(B)(5)</w:t>
      </w:r>
      <w:r>
        <w:rPr>
          <w:rFonts w:cs="Times New Roman"/>
          <w:color w:val="000000" w:themeColor="text1"/>
          <w:u w:color="000000" w:themeColor="text1"/>
        </w:rPr>
        <w:noBreakHyphen/>
      </w:r>
      <w:r w:rsidRPr="00452AD4">
        <w:rPr>
          <w:rFonts w:cs="Times New Roman"/>
          <w:color w:val="000000" w:themeColor="text1"/>
          <w:u w:color="000000" w:themeColor="text1"/>
        </w:rPr>
        <w:t>(7);</w:t>
      </w:r>
    </w:p>
    <w:p w14:paraId="0FDE64B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(c)</w:t>
      </w:r>
      <w:r w:rsidRPr="00452AD4">
        <w:rPr>
          <w:rFonts w:cs="Times New Roman"/>
          <w:color w:val="000000" w:themeColor="text1"/>
          <w:u w:color="000000" w:themeColor="text1"/>
        </w:rPr>
        <w:tab/>
        <w:t>the amount of money received and any rate of interest anticipated to be collected;</w:t>
      </w:r>
    </w:p>
    <w:p w14:paraId="61CB129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(d)</w:t>
      </w:r>
      <w:r w:rsidRPr="00452AD4">
        <w:rPr>
          <w:rFonts w:cs="Times New Roman"/>
          <w:color w:val="000000" w:themeColor="text1"/>
          <w:u w:color="000000" w:themeColor="text1"/>
        </w:rPr>
        <w:tab/>
        <w:t>a statement that the full reservation deposit and any corresponding interest accrued will be applied to the entrance fee at the time of executing the continuing care contract;</w:t>
      </w:r>
    </w:p>
    <w:p w14:paraId="46949DE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(e)</w:t>
      </w:r>
      <w:r w:rsidRPr="00452AD4">
        <w:rPr>
          <w:rFonts w:cs="Times New Roman"/>
          <w:color w:val="000000" w:themeColor="text1"/>
          <w:u w:color="000000" w:themeColor="text1"/>
        </w:rPr>
        <w:tab/>
        <w:t>a statement that the prospective resident has a right to cancel the agreement at any time for a full refund;</w:t>
      </w:r>
    </w:p>
    <w:p w14:paraId="4E7A23C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lastRenderedPageBreak/>
        <w:tab/>
      </w:r>
      <w:r w:rsidRPr="00452AD4">
        <w:rPr>
          <w:rFonts w:cs="Times New Roman"/>
          <w:color w:val="000000" w:themeColor="text1"/>
          <w:u w:color="000000" w:themeColor="text1"/>
        </w:rPr>
        <w:tab/>
      </w:r>
      <w:r w:rsidRPr="00452AD4">
        <w:rPr>
          <w:rFonts w:cs="Times New Roman"/>
          <w:color w:val="000000" w:themeColor="text1"/>
          <w:u w:color="000000" w:themeColor="text1"/>
        </w:rPr>
        <w:tab/>
        <w:t>(f)</w:t>
      </w:r>
      <w:r w:rsidRPr="00452AD4">
        <w:rPr>
          <w:rFonts w:cs="Times New Roman"/>
          <w:color w:val="000000" w:themeColor="text1"/>
          <w:u w:color="000000" w:themeColor="text1"/>
        </w:rPr>
        <w:tab/>
        <w:t>the method of cancelling, the address where the prospective resident should submit the request to cancel and timeline for distribution of funds, not to exceed ten calendar days;</w:t>
      </w:r>
    </w:p>
    <w:p w14:paraId="3EBB24A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(g)</w:t>
      </w:r>
      <w:r w:rsidRPr="00452AD4">
        <w:rPr>
          <w:rFonts w:cs="Times New Roman"/>
          <w:color w:val="000000" w:themeColor="text1"/>
          <w:u w:color="000000" w:themeColor="text1"/>
        </w:rPr>
        <w:tab/>
        <w:t>a statement that the reservation deposit will be held in an escrow account at a trust institution;</w:t>
      </w:r>
    </w:p>
    <w:p w14:paraId="2C798CE2"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(h)</w:t>
      </w:r>
      <w:r w:rsidRPr="00452AD4">
        <w:rPr>
          <w:rFonts w:cs="Times New Roman"/>
          <w:color w:val="000000" w:themeColor="text1"/>
          <w:u w:color="000000" w:themeColor="text1"/>
        </w:rPr>
        <w:tab/>
        <w:t xml:space="preserve">the name and contact information for the trust institution where the reservation deposit will be held; </w:t>
      </w:r>
    </w:p>
    <w:p w14:paraId="4E1E83C1"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 xml:space="preserve">(i) </w:t>
      </w:r>
      <w:r w:rsidRPr="00452AD4">
        <w:rPr>
          <w:rFonts w:cs="Times New Roman"/>
          <w:color w:val="000000" w:themeColor="text1"/>
          <w:u w:color="000000" w:themeColor="text1"/>
        </w:rPr>
        <w:tab/>
        <w:t>a description of the living unit reserved;</w:t>
      </w:r>
    </w:p>
    <w:p w14:paraId="03B1722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 xml:space="preserve">(j) </w:t>
      </w:r>
      <w:r w:rsidRPr="00452AD4">
        <w:rPr>
          <w:rFonts w:cs="Times New Roman"/>
          <w:color w:val="000000" w:themeColor="text1"/>
          <w:u w:color="000000" w:themeColor="text1"/>
        </w:rPr>
        <w:tab/>
        <w:t>a statement of the continuing care services currently offered by the operator at the time of signing the agreement and the continuing care services proposed to be offered in the future; and</w:t>
      </w:r>
    </w:p>
    <w:p w14:paraId="497549B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(k)</w:t>
      </w:r>
      <w:r w:rsidRPr="00452AD4">
        <w:rPr>
          <w:rFonts w:cs="Times New Roman"/>
          <w:color w:val="000000" w:themeColor="text1"/>
          <w:u w:color="000000" w:themeColor="text1"/>
        </w:rPr>
        <w:tab/>
        <w:t xml:space="preserve">a proposed construction schedule, if applicable, and expected date when the reserved living unit will be available for occupancy.  </w:t>
      </w:r>
    </w:p>
    <w:p w14:paraId="3399BB8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 xml:space="preserve">An operator may not receive or agree to a reservation deposit in excess of ten percent of the entrance fee for the prospective resident’s reserved living unit. </w:t>
      </w:r>
    </w:p>
    <w:p w14:paraId="2BBB55C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Every quarter the operator shall provide to the department and prospective residents who entered into a reservation agreement an update on the progress of facility development and expected date when the facility or reserved unit will be available for occupancy. If any major events occur that will delay the schedule by more than four weeks, the operator shall provide an update to the department and all prospective residents who entered into a reservation agreement no later than ten business days after the operator knew or should have known about the delay.</w:t>
      </w:r>
      <w:r w:rsidRPr="00452AD4">
        <w:rPr>
          <w:rFonts w:cs="Times New Roman"/>
          <w:color w:val="000000" w:themeColor="text1"/>
          <w:u w:color="000000" w:themeColor="text1"/>
        </w:rPr>
        <w:tab/>
      </w:r>
    </w:p>
    <w:p w14:paraId="4CD5735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(C)(1)</w:t>
      </w:r>
      <w:r w:rsidRPr="00452AD4">
        <w:rPr>
          <w:rFonts w:cs="Times New Roman"/>
          <w:color w:val="000000" w:themeColor="text1"/>
          <w:u w:color="000000" w:themeColor="text1"/>
        </w:rPr>
        <w:tab/>
        <w:t>A continuing care contract clearly must state what portion, if any, of the entrance fee is refundable and nonrefundable. A contract must include a statement that:</w:t>
      </w:r>
    </w:p>
    <w:p w14:paraId="33B6296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the resident has a right to cancel the contract within thirty days after signing; and</w:t>
      </w:r>
    </w:p>
    <w:p w14:paraId="6E5FC7C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 xml:space="preserve">if a resident dies before occupying a living unit in the facility or, if on account of illness, injury, or incapacity, a resident would be precluded from occupying a living unit in the facility under the terms of the contract for continuing care, the contract is automatically canceled. </w:t>
      </w:r>
    </w:p>
    <w:p w14:paraId="6B8042A8"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If the contract is canceled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14:paraId="328A22BD"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863824D"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Financial responsibility determination</w:t>
      </w:r>
    </w:p>
    <w:p w14:paraId="1C8AB56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05E7DA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4.</w:t>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40 of the 1976 Code is amended to read:</w:t>
      </w:r>
    </w:p>
    <w:p w14:paraId="1407107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E10545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40.</w:t>
      </w:r>
      <w:r w:rsidRPr="00452AD4">
        <w:rPr>
          <w:rFonts w:cs="Times New Roman"/>
          <w:color w:val="000000" w:themeColor="text1"/>
          <w:u w:color="000000" w:themeColor="text1"/>
        </w:rPr>
        <w:tab/>
        <w:t>(A)</w:t>
      </w:r>
      <w:r w:rsidRPr="00452AD4">
        <w:rPr>
          <w:rFonts w:cs="Times New Roman"/>
          <w:color w:val="000000" w:themeColor="text1"/>
          <w:u w:color="000000" w:themeColor="text1"/>
        </w:rPr>
        <w:tab/>
        <w:t xml:space="preserve">Within sixty days of the receipt of a completed application for a license, the department shall determine whether the continuing care retirement community is financially responsible and can meet its obligations to residents or prospective residents. </w:t>
      </w:r>
    </w:p>
    <w:p w14:paraId="037F772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(B)</w:t>
      </w:r>
      <w:r w:rsidRPr="00452AD4">
        <w:rPr>
          <w:rFonts w:cs="Times New Roman"/>
          <w:color w:val="000000" w:themeColor="text1"/>
          <w:u w:color="000000" w:themeColor="text1"/>
        </w:rPr>
        <w:tab/>
        <w:t>In making this determination for a license, the department may consider the project feasibility document provided pursuant to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30(B)(11), which is deemed trade secret and must include at least the following:</w:t>
      </w:r>
    </w:p>
    <w:p w14:paraId="4C0AD0D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a statement of the purpose and need for the facility;</w:t>
      </w:r>
    </w:p>
    <w:p w14:paraId="55FA680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a description of the proposed facility, including the location, size, number of units to be constructed, anticipated completion date, and the proposed construction program;</w:t>
      </w:r>
    </w:p>
    <w:p w14:paraId="0275968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an identification and evaluation of the primary market areas and assumptions as to the secondary market areas, as well as the proposed unit sales per month;</w:t>
      </w:r>
    </w:p>
    <w:p w14:paraId="741DA06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(4)</w:t>
      </w:r>
      <w:r w:rsidRPr="00452AD4">
        <w:rPr>
          <w:rFonts w:cs="Times New Roman"/>
          <w:color w:val="000000" w:themeColor="text1"/>
          <w:u w:color="000000" w:themeColor="text1"/>
        </w:rPr>
        <w:tab/>
        <w:t>projected revenues from all sources, including:</w:t>
      </w:r>
    </w:p>
    <w:p w14:paraId="2F9F489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anticipated entrance fees;</w:t>
      </w:r>
    </w:p>
    <w:p w14:paraId="0CB0AA0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monthly service fees;</w:t>
      </w:r>
    </w:p>
    <w:p w14:paraId="70780BA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(c)</w:t>
      </w:r>
      <w:r w:rsidRPr="00452AD4">
        <w:rPr>
          <w:rFonts w:cs="Times New Roman"/>
          <w:color w:val="000000" w:themeColor="text1"/>
          <w:u w:color="000000" w:themeColor="text1"/>
        </w:rPr>
        <w:tab/>
        <w:t>nursing care rates, if applicable; and</w:t>
      </w:r>
    </w:p>
    <w:p w14:paraId="48643DE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(d)</w:t>
      </w:r>
      <w:r w:rsidRPr="00452AD4">
        <w:rPr>
          <w:rFonts w:cs="Times New Roman"/>
          <w:color w:val="000000" w:themeColor="text1"/>
          <w:u w:color="000000" w:themeColor="text1"/>
        </w:rPr>
        <w:tab/>
        <w:t>the total amount of financing required;</w:t>
      </w:r>
    </w:p>
    <w:p w14:paraId="48A82D0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(5)</w:t>
      </w:r>
      <w:r w:rsidRPr="00452AD4">
        <w:rPr>
          <w:rFonts w:cs="Times New Roman"/>
          <w:color w:val="000000" w:themeColor="text1"/>
          <w:u w:color="000000" w:themeColor="text1"/>
        </w:rPr>
        <w:tab/>
        <w:t>projected expenses, including:</w:t>
      </w:r>
    </w:p>
    <w:p w14:paraId="76D4120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staffing requirements and salaries;</w:t>
      </w:r>
    </w:p>
    <w:p w14:paraId="40C5528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property, plant, and equipment costs, including depreciation expense;</w:t>
      </w:r>
    </w:p>
    <w:p w14:paraId="6CFB6B0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(c)</w:t>
      </w:r>
      <w:r w:rsidRPr="00452AD4">
        <w:rPr>
          <w:rFonts w:cs="Times New Roman"/>
          <w:color w:val="000000" w:themeColor="text1"/>
          <w:u w:color="000000" w:themeColor="text1"/>
        </w:rPr>
        <w:tab/>
        <w:t>interest expense;</w:t>
      </w:r>
    </w:p>
    <w:p w14:paraId="04465DB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(d)</w:t>
      </w:r>
      <w:r w:rsidRPr="00452AD4">
        <w:rPr>
          <w:rFonts w:cs="Times New Roman"/>
          <w:color w:val="000000" w:themeColor="text1"/>
          <w:u w:color="000000" w:themeColor="text1"/>
        </w:rPr>
        <w:tab/>
        <w:t>marketing expenses; and</w:t>
      </w:r>
    </w:p>
    <w:p w14:paraId="1A85EB5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(e)</w:t>
      </w:r>
      <w:r w:rsidRPr="00452AD4">
        <w:rPr>
          <w:rFonts w:cs="Times New Roman"/>
          <w:color w:val="000000" w:themeColor="text1"/>
          <w:u w:color="000000" w:themeColor="text1"/>
        </w:rPr>
        <w:tab/>
        <w:t>other operating expenses;</w:t>
      </w:r>
    </w:p>
    <w:p w14:paraId="1EA2CC8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(6)</w:t>
      </w:r>
      <w:r w:rsidRPr="00452AD4">
        <w:rPr>
          <w:rFonts w:cs="Times New Roman"/>
          <w:color w:val="000000" w:themeColor="text1"/>
          <w:u w:color="000000" w:themeColor="text1"/>
        </w:rPr>
        <w:tab/>
        <w:t>current assets and liabilities of the applicant;</w:t>
      </w:r>
    </w:p>
    <w:p w14:paraId="668D92B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(7)</w:t>
      </w:r>
      <w:r w:rsidRPr="00452AD4">
        <w:rPr>
          <w:rFonts w:cs="Times New Roman"/>
          <w:color w:val="000000" w:themeColor="text1"/>
          <w:u w:color="000000" w:themeColor="text1"/>
        </w:rPr>
        <w:tab/>
        <w:t>expectations of the financial condition of the facility, including the projected cash flow and a projected balance sheet and an estimate of the funds anticipated to be necessary to cover start</w:t>
      </w:r>
      <w:r>
        <w:rPr>
          <w:rFonts w:cs="Times New Roman"/>
          <w:color w:val="000000" w:themeColor="text1"/>
          <w:u w:color="000000" w:themeColor="text1"/>
        </w:rPr>
        <w:noBreakHyphen/>
      </w:r>
      <w:r w:rsidRPr="00452AD4">
        <w:rPr>
          <w:rFonts w:cs="Times New Roman"/>
          <w:color w:val="000000" w:themeColor="text1"/>
          <w:u w:color="000000" w:themeColor="text1"/>
        </w:rPr>
        <w:t>up losses;</w:t>
      </w:r>
    </w:p>
    <w:p w14:paraId="604336D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(8)</w:t>
      </w:r>
      <w:r w:rsidRPr="00452AD4">
        <w:rPr>
          <w:rFonts w:cs="Times New Roman"/>
          <w:color w:val="000000" w:themeColor="text1"/>
          <w:u w:color="000000" w:themeColor="text1"/>
        </w:rPr>
        <w:tab/>
        <w:t>the inflation factor, if any, assumed in the study for the proposed facility and how and where it is applied;</w:t>
      </w:r>
    </w:p>
    <w:p w14:paraId="0D9CFD8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(9)</w:t>
      </w:r>
      <w:r w:rsidRPr="00452AD4">
        <w:rPr>
          <w:rFonts w:cs="Times New Roman"/>
          <w:color w:val="000000" w:themeColor="text1"/>
          <w:u w:color="000000" w:themeColor="text1"/>
        </w:rPr>
        <w:tab/>
        <w:t xml:space="preserve">financial forecasts or projections prepared in accordance with standards promulgated by the American Institute of Certified Public Accountants, or in accordance with standards for feasibility studies for continuing care retirement communities promulgated by the Actuarial Standards Board, and an independent evaluation and opinion by the consultant who prepared the study of the underlying assumptions used </w:t>
      </w:r>
      <w:r w:rsidRPr="00452AD4">
        <w:rPr>
          <w:rFonts w:cs="Times New Roman"/>
          <w:color w:val="000000" w:themeColor="text1"/>
          <w:u w:color="000000" w:themeColor="text1"/>
        </w:rPr>
        <w:lastRenderedPageBreak/>
        <w:t>as the basis for the forecasts or projections in the study. The study shall take into account facility costs, marketing projections, resident fees and charges, competition, resident contract provisions, and other factors which affect the feasibility of the study;</w:t>
      </w:r>
    </w:p>
    <w:p w14:paraId="5AB6E8D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(10)</w:t>
      </w:r>
      <w:r w:rsidRPr="00452AD4">
        <w:rPr>
          <w:rFonts w:cs="Times New Roman"/>
          <w:color w:val="000000" w:themeColor="text1"/>
          <w:u w:color="000000" w:themeColor="text1"/>
        </w:rPr>
        <w:tab/>
        <w:t>an opinion letter prepared by the person who prepared the study as to the financial feasibility of the facility;</w:t>
      </w:r>
    </w:p>
    <w:p w14:paraId="360EDD1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(11)</w:t>
      </w:r>
      <w:r w:rsidRPr="00452AD4">
        <w:rPr>
          <w:rFonts w:cs="Times New Roman"/>
          <w:color w:val="000000" w:themeColor="text1"/>
          <w:u w:color="000000" w:themeColor="text1"/>
        </w:rPr>
        <w:tab/>
        <w:t>the name, address, and telephone number of the person who prepared the feasibility study and the experience of the person in preparing similar studies or otherwise consulting in the field of continuing care; and</w:t>
      </w:r>
    </w:p>
    <w:p w14:paraId="7345820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(12)</w:t>
      </w:r>
      <w:r w:rsidRPr="00452AD4">
        <w:rPr>
          <w:rFonts w:cs="Times New Roman"/>
          <w:color w:val="000000" w:themeColor="text1"/>
          <w:u w:color="000000" w:themeColor="text1"/>
        </w:rPr>
        <w:tab/>
        <w:t>a detailed written statement regarding the specific provisions taken, or to be taken, to enable the applicant to perform its obligations fully under contracts to provide continuing care.  The provisions may include surety bonds, financial reserves, letters of credit, adequacy of working capital and actual and projected occupancy rates, and other financial arrangements or assurances as permitted in this section.</w:t>
      </w:r>
    </w:p>
    <w:p w14:paraId="4C9AB80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(C)</w:t>
      </w:r>
      <w:r w:rsidRPr="00452AD4">
        <w:rPr>
          <w:rFonts w:cs="Times New Roman"/>
          <w:color w:val="000000" w:themeColor="text1"/>
          <w:u w:color="000000" w:themeColor="text1"/>
        </w:rPr>
        <w:tab/>
        <w:t>In making this determination for a final license, the department may consider, without limitation, the following in addition to the items listed in subsection (B):</w:t>
      </w:r>
    </w:p>
    <w:p w14:paraId="66931B9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the financial soundness of the arrangements for board, lodging, or medical, nursing, or health</w:t>
      </w:r>
      <w:r>
        <w:rPr>
          <w:rFonts w:cs="Times New Roman"/>
          <w:color w:val="000000" w:themeColor="text1"/>
          <w:u w:color="000000" w:themeColor="text1"/>
        </w:rPr>
        <w:noBreakHyphen/>
      </w:r>
      <w:r w:rsidRPr="00452AD4">
        <w:rPr>
          <w:rFonts w:cs="Times New Roman"/>
          <w:color w:val="000000" w:themeColor="text1"/>
          <w:u w:color="000000" w:themeColor="text1"/>
        </w:rPr>
        <w:t>related services and the schedule of charges used in connection with them;</w:t>
      </w:r>
    </w:p>
    <w:p w14:paraId="3496666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the adequacy of working capital;</w:t>
      </w:r>
    </w:p>
    <w:p w14:paraId="08E2F1C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14:paraId="05633FC2"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(4)</w:t>
      </w:r>
      <w:r w:rsidRPr="00452AD4">
        <w:rPr>
          <w:rFonts w:cs="Times New Roman"/>
          <w:color w:val="000000" w:themeColor="text1"/>
          <w:u w:color="000000" w:themeColor="text1"/>
        </w:rPr>
        <w:tab/>
        <w:t>an agreement with providers for the provision of health care or health</w:t>
      </w:r>
      <w:r>
        <w:rPr>
          <w:rFonts w:cs="Times New Roman"/>
          <w:color w:val="000000" w:themeColor="text1"/>
          <w:u w:color="000000" w:themeColor="text1"/>
        </w:rPr>
        <w:noBreakHyphen/>
      </w:r>
      <w:r w:rsidRPr="00452AD4">
        <w:rPr>
          <w:rFonts w:cs="Times New Roman"/>
          <w:color w:val="000000" w:themeColor="text1"/>
          <w:u w:color="000000" w:themeColor="text1"/>
        </w:rPr>
        <w:t>related services.”</w:t>
      </w:r>
    </w:p>
    <w:p w14:paraId="4B91B9BC"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08F4D58"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 xml:space="preserve">Preliminary licenses </w:t>
      </w:r>
    </w:p>
    <w:p w14:paraId="0496FFF7"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FE655C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5.</w:t>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50 of the 1976 Code is amended to read:</w:t>
      </w:r>
    </w:p>
    <w:p w14:paraId="3275DC8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E9B19EF"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50.</w:t>
      </w:r>
      <w:r w:rsidRPr="00452AD4">
        <w:rPr>
          <w:rFonts w:cs="Times New Roman"/>
          <w:color w:val="000000" w:themeColor="text1"/>
          <w:u w:color="000000" w:themeColor="text1"/>
        </w:rPr>
        <w:tab/>
        <w:t>(A)</w:t>
      </w:r>
      <w:r w:rsidRPr="00452AD4">
        <w:rPr>
          <w:rFonts w:cs="Times New Roman"/>
          <w:color w:val="000000" w:themeColor="text1"/>
          <w:u w:color="000000" w:themeColor="text1"/>
        </w:rPr>
        <w:tab/>
        <w:t>The department shall issue a preliminary license to a person filing an application pursuant to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 if, upon payment of the application fee, it determines that:</w:t>
      </w:r>
    </w:p>
    <w:p w14:paraId="4F3EEAA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the feasibility study satisfies the requirements in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40(B) and demonstrates the project is feasible;</w:t>
      </w:r>
    </w:p>
    <w:p w14:paraId="3BBDA44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the continuing care contracts and the operator’s disclosure statement meet the requirements prescribed by this chapter;</w:t>
      </w:r>
    </w:p>
    <w:p w14:paraId="7553D87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lastRenderedPageBreak/>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the facility’s advertising and promotional materials are not deceptive, misleading, or likely to mislead;</w:t>
      </w:r>
    </w:p>
    <w:p w14:paraId="2CA4083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(4)</w:t>
      </w:r>
      <w:r w:rsidRPr="00452AD4">
        <w:rPr>
          <w:rFonts w:cs="Times New Roman"/>
          <w:color w:val="000000" w:themeColor="text1"/>
          <w:u w:color="000000" w:themeColor="text1"/>
        </w:rPr>
        <w:tab/>
        <w:t>the facility has in effect its complaint system;</w:t>
      </w:r>
    </w:p>
    <w:p w14:paraId="2BDB6492"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(5)</w:t>
      </w:r>
      <w:r w:rsidRPr="00452AD4">
        <w:rPr>
          <w:rFonts w:cs="Times New Roman"/>
          <w:color w:val="000000" w:themeColor="text1"/>
          <w:u w:color="000000" w:themeColor="text1"/>
        </w:rPr>
        <w:tab/>
        <w:t>the applicant has demonstrated the willingness and potential ability to provide health care or health</w:t>
      </w:r>
      <w:r>
        <w:rPr>
          <w:rFonts w:cs="Times New Roman"/>
          <w:color w:val="000000" w:themeColor="text1"/>
          <w:u w:color="000000" w:themeColor="text1"/>
        </w:rPr>
        <w:noBreakHyphen/>
      </w:r>
      <w:r w:rsidRPr="00452AD4">
        <w:rPr>
          <w:rFonts w:cs="Times New Roman"/>
          <w:color w:val="000000" w:themeColor="text1"/>
          <w:u w:color="000000" w:themeColor="text1"/>
        </w:rPr>
        <w:t>related services in a manner that assures availability and accessibility of adequate personnel and facilities, and in a manner that assures continuity of service;</w:t>
      </w:r>
    </w:p>
    <w:p w14:paraId="1AADF8E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(6)</w:t>
      </w:r>
      <w:r w:rsidRPr="00452AD4">
        <w:rPr>
          <w:rFonts w:cs="Times New Roman"/>
          <w:color w:val="000000" w:themeColor="text1"/>
          <w:u w:color="000000" w:themeColor="text1"/>
        </w:rPr>
        <w:tab/>
        <w:t>the escrow agreement and any reservation agreement state that all deposits will be held in escrow and released in accordance with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90.</w:t>
      </w:r>
    </w:p>
    <w:p w14:paraId="1F33654E"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(B)</w:t>
      </w:r>
      <w:r w:rsidRPr="00452AD4">
        <w:rPr>
          <w:rFonts w:cs="Times New Roman"/>
          <w:color w:val="000000" w:themeColor="text1"/>
          <w:u w:color="000000" w:themeColor="text1"/>
        </w:rPr>
        <w:tab/>
        <w:t>The department shall issue a license to a person filing an application pursuant to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 if, upon payment of the application fee, the department is satisfied that:</w:t>
      </w:r>
    </w:p>
    <w:p w14:paraId="11C22693"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the persons responsible for the conduct of the affairs of the applicant are competent and trustworthy and possess good reputations;</w:t>
      </w:r>
    </w:p>
    <w:p w14:paraId="604E8295"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the continuing care retirement community is financially responsible and can meet its obligations to residents;</w:t>
      </w:r>
    </w:p>
    <w:p w14:paraId="3EF47C4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the operator has demonstrated the willingness and potential ability to assure that the health care or health</w:t>
      </w:r>
      <w:r>
        <w:rPr>
          <w:rFonts w:cs="Times New Roman"/>
          <w:color w:val="000000" w:themeColor="text1"/>
          <w:u w:color="000000" w:themeColor="text1"/>
        </w:rPr>
        <w:noBreakHyphen/>
      </w:r>
      <w:r w:rsidRPr="00452AD4">
        <w:rPr>
          <w:rFonts w:cs="Times New Roman"/>
          <w:color w:val="000000" w:themeColor="text1"/>
          <w:u w:color="000000" w:themeColor="text1"/>
        </w:rPr>
        <w:t>related services will be provided in a manner to assure both availability and accessibility of adequate personnel and facilities and in a manner assuring availability, accessibility, and continuity of service;</w:t>
      </w:r>
    </w:p>
    <w:p w14:paraId="445063B8"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(4)</w:t>
      </w:r>
      <w:r w:rsidRPr="00452AD4">
        <w:rPr>
          <w:rFonts w:cs="Times New Roman"/>
          <w:color w:val="000000" w:themeColor="text1"/>
          <w:u w:color="000000" w:themeColor="text1"/>
        </w:rPr>
        <w:tab/>
        <w:t>the operator has complied with all requirements of the Department of Health and Environmental Control concerning the furnishing of nursing, medical, or other health</w:t>
      </w:r>
      <w:r>
        <w:rPr>
          <w:rFonts w:cs="Times New Roman"/>
          <w:color w:val="000000" w:themeColor="text1"/>
          <w:u w:color="000000" w:themeColor="text1"/>
        </w:rPr>
        <w:noBreakHyphen/>
      </w:r>
      <w:r w:rsidRPr="00452AD4">
        <w:rPr>
          <w:rFonts w:cs="Times New Roman"/>
          <w:color w:val="000000" w:themeColor="text1"/>
          <w:u w:color="000000" w:themeColor="text1"/>
        </w:rPr>
        <w:t>related services.”</w:t>
      </w:r>
    </w:p>
    <w:p w14:paraId="5B0E5EF6"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15DEA65"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Reservation Deposits</w:t>
      </w:r>
    </w:p>
    <w:p w14:paraId="1AF5F52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8CB293E"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6.</w:t>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90 of the 1976 Code is amended to read:</w:t>
      </w:r>
    </w:p>
    <w:p w14:paraId="54FA1952"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9AA4AE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90.</w:t>
      </w:r>
      <w:r w:rsidRPr="00452AD4">
        <w:rPr>
          <w:rFonts w:cs="Times New Roman"/>
          <w:color w:val="000000" w:themeColor="text1"/>
          <w:u w:color="000000" w:themeColor="text1"/>
        </w:rPr>
        <w:tab/>
        <w:t>(A)</w:t>
      </w:r>
      <w:r w:rsidRPr="00452AD4">
        <w:rPr>
          <w:rFonts w:cs="Times New Roman"/>
          <w:color w:val="000000" w:themeColor="text1"/>
          <w:u w:color="000000" w:themeColor="text1"/>
        </w:rPr>
        <w:tab/>
        <w:t>A continuing care retirement community is exempt from the provisions of this section if:</w:t>
      </w:r>
    </w:p>
    <w:p w14:paraId="3508AA9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it has been operating for at least five years;</w:t>
      </w:r>
    </w:p>
    <w:p w14:paraId="2885CD9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for the previous six months it has maintained at least the minimum occupancy rate estimated in its financial feasibility study to achieve a break</w:t>
      </w:r>
      <w:r>
        <w:rPr>
          <w:rFonts w:cs="Times New Roman"/>
          <w:color w:val="000000" w:themeColor="text1"/>
          <w:u w:color="000000" w:themeColor="text1"/>
        </w:rPr>
        <w:noBreakHyphen/>
      </w:r>
      <w:r w:rsidRPr="00452AD4">
        <w:rPr>
          <w:rFonts w:cs="Times New Roman"/>
          <w:color w:val="000000" w:themeColor="text1"/>
          <w:u w:color="000000" w:themeColor="text1"/>
        </w:rPr>
        <w:t>even cash flow operating level or seventy</w:t>
      </w:r>
      <w:r>
        <w:rPr>
          <w:rFonts w:cs="Times New Roman"/>
          <w:color w:val="000000" w:themeColor="text1"/>
          <w:u w:color="000000" w:themeColor="text1"/>
        </w:rPr>
        <w:noBreakHyphen/>
      </w:r>
      <w:r w:rsidRPr="00452AD4">
        <w:rPr>
          <w:rFonts w:cs="Times New Roman"/>
          <w:color w:val="000000" w:themeColor="text1"/>
          <w:u w:color="000000" w:themeColor="text1"/>
        </w:rPr>
        <w:t>five percent occupancy, whichever is less.</w:t>
      </w:r>
    </w:p>
    <w:p w14:paraId="302D903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(B)</w:t>
      </w:r>
      <w:r w:rsidRPr="00452AD4">
        <w:rPr>
          <w:rFonts w:cs="Times New Roman"/>
          <w:color w:val="000000" w:themeColor="text1"/>
          <w:u w:color="000000" w:themeColor="text1"/>
        </w:rPr>
        <w:tab/>
        <w:t xml:space="preserve">If an entrance fee or reservation deposit is received by the operator before the date the resident is permitted to occupy a living unit in the facility, the total amount must be placed in an escrow account with a trust institution. </w:t>
      </w:r>
    </w:p>
    <w:p w14:paraId="5F02972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(C)</w:t>
      </w:r>
      <w:r w:rsidRPr="00452AD4">
        <w:rPr>
          <w:rFonts w:cs="Times New Roman"/>
          <w:color w:val="000000" w:themeColor="text1"/>
          <w:u w:color="000000" w:themeColor="text1"/>
        </w:rPr>
        <w:tab/>
        <w:t xml:space="preserve"> Entrance fees may be released from escrow to the operator only as follows:</w:t>
      </w:r>
    </w:p>
    <w:p w14:paraId="016E633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lastRenderedPageBreak/>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If the entrance fee applies to a living unit that previously has been occupied in the facility, the entrance fee must be released to the operator when the operator provides written certification that the living unit is available for occupancy by the new resident.</w:t>
      </w:r>
    </w:p>
    <w:p w14:paraId="02E185A9"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If the entrance fee applies to a living unit which previously has not been occupied by a resident, the nonrefundable portion, if any, of the entrance fee must be released to the operator when the operator provides written certification that the living unit is available for occupancy. The refundable portion, if any, of the entrance fee must be released to the operator when the operator provides certification to the escrow agent that the following has occurred:</w:t>
      </w:r>
    </w:p>
    <w:p w14:paraId="20D152D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construction or purchase of the living unit has been completed, and an occupancy permit, if applicable, covering the living unit has been issued by the local government havin</w:t>
      </w:r>
      <w:r>
        <w:rPr>
          <w:rFonts w:cs="Times New Roman"/>
          <w:color w:val="000000" w:themeColor="text1"/>
          <w:u w:color="000000" w:themeColor="text1"/>
        </w:rPr>
        <w:t>g authority to issue the permit;</w:t>
      </w:r>
    </w:p>
    <w:p w14:paraId="19644BDA"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a commitment has been received by the operator for a permanent mortgage loan or other long</w:t>
      </w:r>
      <w:r>
        <w:rPr>
          <w:rFonts w:cs="Times New Roman"/>
          <w:color w:val="000000" w:themeColor="text1"/>
          <w:u w:color="000000" w:themeColor="text1"/>
        </w:rPr>
        <w:noBreakHyphen/>
      </w:r>
      <w:r w:rsidRPr="00452AD4">
        <w:rPr>
          <w:rFonts w:cs="Times New Roman"/>
          <w:color w:val="000000" w:themeColor="text1"/>
          <w:u w:color="000000" w:themeColor="text1"/>
        </w:rPr>
        <w:t>term financing, and conditions of the commitment before disbursement of funds ha</w:t>
      </w:r>
      <w:r>
        <w:rPr>
          <w:rFonts w:cs="Times New Roman"/>
          <w:color w:val="000000" w:themeColor="text1"/>
          <w:u w:color="000000" w:themeColor="text1"/>
        </w:rPr>
        <w:t>ve been satisfied substantially;</w:t>
      </w:r>
    </w:p>
    <w:p w14:paraId="37BE9C7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(c)</w:t>
      </w:r>
      <w:r w:rsidRPr="00452AD4">
        <w:rPr>
          <w:rFonts w:cs="Times New Roman"/>
          <w:color w:val="000000" w:themeColor="text1"/>
          <w:u w:color="000000" w:themeColor="text1"/>
        </w:rPr>
        <w:tab/>
        <w:t>aggregate entrance fees received or receivable by the operator pursuant to binding continuing care retirement community contracts, plus the anticipated proceeds of any first mortgage loan or other long</w:t>
      </w:r>
      <w:r>
        <w:rPr>
          <w:rFonts w:cs="Times New Roman"/>
          <w:color w:val="000000" w:themeColor="text1"/>
          <w:u w:color="000000" w:themeColor="text1"/>
        </w:rPr>
        <w:noBreakHyphen/>
      </w:r>
      <w:r w:rsidRPr="00452AD4">
        <w:rPr>
          <w:rFonts w:cs="Times New Roman"/>
          <w:color w:val="000000" w:themeColor="text1"/>
          <w:u w:color="000000" w:themeColor="text1"/>
        </w:rPr>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30 to be necessary to fund cash shortages during start</w:t>
      </w:r>
      <w:r>
        <w:rPr>
          <w:rFonts w:cs="Times New Roman"/>
          <w:color w:val="000000" w:themeColor="text1"/>
          <w:u w:color="000000" w:themeColor="text1"/>
        </w:rPr>
        <w:noBreakHyphen/>
      </w:r>
      <w:r w:rsidRPr="00452AD4">
        <w:rPr>
          <w:rFonts w:cs="Times New Roman"/>
          <w:color w:val="000000" w:themeColor="text1"/>
          <w:u w:color="000000" w:themeColor="text1"/>
        </w:rPr>
        <w:t>up and assure full performance of the obligations of the operator pursuant to continuing care retirement community contracts.</w:t>
      </w:r>
    </w:p>
    <w:p w14:paraId="2684334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(D)</w:t>
      </w:r>
      <w:r w:rsidRPr="00452AD4">
        <w:rPr>
          <w:rFonts w:cs="Times New Roman"/>
          <w:color w:val="000000" w:themeColor="text1"/>
          <w:u w:color="000000" w:themeColor="text1"/>
        </w:rPr>
        <w:tab/>
        <w:t>A reservation deposit may be released only as follows:</w:t>
      </w:r>
    </w:p>
    <w:p w14:paraId="38B081B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(1)</w:t>
      </w:r>
      <w:r w:rsidRPr="00452AD4">
        <w:rPr>
          <w:rFonts w:cs="Times New Roman"/>
          <w:color w:val="000000" w:themeColor="text1"/>
          <w:u w:color="000000" w:themeColor="text1"/>
        </w:rPr>
        <w:tab/>
        <w:t>When a prospective resident who has entered into a reservation agreement and paid a reservation deposit later enters into a continuing care contract with the continuing care retirement community, the reservation agreement terminates and the reservation deposit shall be credited in full towards the entrance fee. Thereafter, the funds shall remain in escrow until the requirements of subsection (C) or (E)(3) are met.</w:t>
      </w:r>
    </w:p>
    <w:p w14:paraId="666C14AD"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Reservation deposits may be refunded to the prospective resident at any time. The operator must provide the form to be used to request disbursement of funds from the trust institution to the prospective resident. The form must list the total disbursement amount and must certify that the prospective resident has sent written notice to the provider requesting a refund and that either:</w:t>
      </w:r>
    </w:p>
    <w:p w14:paraId="5B622596"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lastRenderedPageBreak/>
        <w:tab/>
      </w:r>
      <w:r w:rsidRPr="00452AD4">
        <w:rPr>
          <w:rFonts w:cs="Times New Roman"/>
          <w:color w:val="000000" w:themeColor="text1"/>
          <w:u w:color="000000" w:themeColor="text1"/>
        </w:rPr>
        <w:tab/>
      </w:r>
      <w:r w:rsidRPr="00452AD4">
        <w:rPr>
          <w:rFonts w:cs="Times New Roman"/>
          <w:color w:val="000000" w:themeColor="text1"/>
          <w:u w:color="000000" w:themeColor="text1"/>
        </w:rPr>
        <w:tab/>
        <w:t>(a)</w:t>
      </w:r>
      <w:r w:rsidRPr="00452AD4">
        <w:rPr>
          <w:rFonts w:cs="Times New Roman"/>
          <w:color w:val="000000" w:themeColor="text1"/>
          <w:u w:color="000000" w:themeColor="text1"/>
        </w:rPr>
        <w:tab/>
        <w:t>the prospective resident has rescinded his reservation agreement; or</w:t>
      </w:r>
    </w:p>
    <w:p w14:paraId="5F48C52E"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r>
      <w:r w:rsidRPr="00452AD4">
        <w:rPr>
          <w:rFonts w:cs="Times New Roman"/>
          <w:color w:val="000000" w:themeColor="text1"/>
          <w:u w:color="000000" w:themeColor="text1"/>
        </w:rPr>
        <w:tab/>
        <w:t>(b)</w:t>
      </w:r>
      <w:r w:rsidRPr="00452AD4">
        <w:rPr>
          <w:rFonts w:cs="Times New Roman"/>
          <w:color w:val="000000" w:themeColor="text1"/>
          <w:u w:color="000000" w:themeColor="text1"/>
        </w:rPr>
        <w:tab/>
        <w:t>the reservation agreement has been terminated by the prospective resident or operator in accordance with its stated terms</w:t>
      </w:r>
      <w:r>
        <w:rPr>
          <w:rFonts w:cs="Times New Roman"/>
          <w:color w:val="000000" w:themeColor="text1"/>
          <w:u w:color="000000" w:themeColor="text1"/>
        </w:rPr>
        <w:t>.</w:t>
      </w:r>
    </w:p>
    <w:p w14:paraId="05C15FD0"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(E)(1)</w:t>
      </w:r>
      <w:r w:rsidRPr="00452AD4">
        <w:rPr>
          <w:rFonts w:cs="Times New Roman"/>
          <w:color w:val="000000" w:themeColor="text1"/>
          <w:u w:color="000000" w:themeColor="text1"/>
        </w:rPr>
        <w:tab/>
        <w:t>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14:paraId="668569D4"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(2)</w:t>
      </w:r>
      <w:r w:rsidRPr="00452AD4">
        <w:rPr>
          <w:rFonts w:cs="Times New Roman"/>
          <w:color w:val="000000" w:themeColor="text1"/>
          <w:u w:color="000000" w:themeColor="text1"/>
        </w:rPr>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14:paraId="2739DDDB"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(3)</w:t>
      </w:r>
      <w:r w:rsidRPr="00452AD4">
        <w:rPr>
          <w:rFonts w:cs="Times New Roman"/>
          <w:color w:val="000000" w:themeColor="text1"/>
          <w:u w:color="000000" w:themeColor="text1"/>
        </w:rPr>
        <w:tab/>
        <w:t>An entrance fee held in escrow may be returned by the escrow agent to the person who made payment to the operator at any time upon receipt by the escrow agent of notice from the operator that this person is entitled to a refund of the entrance fee.</w:t>
      </w:r>
    </w:p>
    <w:p w14:paraId="7200ED5A"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r>
      <w:r w:rsidRPr="00452AD4">
        <w:rPr>
          <w:rFonts w:cs="Times New Roman"/>
          <w:color w:val="000000" w:themeColor="text1"/>
          <w:u w:color="000000" w:themeColor="text1"/>
        </w:rPr>
        <w:tab/>
        <w:t>(4)</w:t>
      </w:r>
      <w:r w:rsidRPr="00452AD4">
        <w:rPr>
          <w:rFonts w:cs="Times New Roman"/>
          <w:color w:val="000000" w:themeColor="text1"/>
          <w:u w:color="000000" w:themeColor="text1"/>
        </w:rPr>
        <w:tab/>
        <w:t>The escrow agent shall be entitled to rely upon the written notices, instructions, and directions of the operator and shall have no liability for any action taken based upon such reliance. However, the escrow agent shall be liable for its own negligence or wilful misconduct.”</w:t>
      </w:r>
    </w:p>
    <w:p w14:paraId="289E8AE3"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542DD3C"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 xml:space="preserve">Exempt facilities </w:t>
      </w:r>
    </w:p>
    <w:p w14:paraId="512E3E8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621CB4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7.</w:t>
      </w: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135 of the 1976 Code is amended to read:</w:t>
      </w:r>
    </w:p>
    <w:p w14:paraId="09808E3C"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3DD37B1"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2AD4">
        <w:rPr>
          <w:rFonts w:cs="Times New Roman"/>
          <w:color w:val="000000" w:themeColor="text1"/>
          <w:u w:color="000000" w:themeColor="text1"/>
        </w:rPr>
        <w:tab/>
        <w:t>“Section 37</w:t>
      </w:r>
      <w:r>
        <w:rPr>
          <w:rFonts w:cs="Times New Roman"/>
          <w:color w:val="000000" w:themeColor="text1"/>
          <w:u w:color="000000" w:themeColor="text1"/>
        </w:rPr>
        <w:noBreakHyphen/>
      </w:r>
      <w:r w:rsidRPr="00452AD4">
        <w:rPr>
          <w:rFonts w:cs="Times New Roman"/>
          <w:color w:val="000000" w:themeColor="text1"/>
          <w:u w:color="000000" w:themeColor="text1"/>
        </w:rPr>
        <w:t>11</w:t>
      </w:r>
      <w:r>
        <w:rPr>
          <w:rFonts w:cs="Times New Roman"/>
          <w:color w:val="000000" w:themeColor="text1"/>
          <w:u w:color="000000" w:themeColor="text1"/>
        </w:rPr>
        <w:noBreakHyphen/>
      </w:r>
      <w:r w:rsidRPr="00452AD4">
        <w:rPr>
          <w:rFonts w:cs="Times New Roman"/>
          <w:color w:val="000000" w:themeColor="text1"/>
          <w:u w:color="000000" w:themeColor="text1"/>
        </w:rPr>
        <w:t>135.</w:t>
      </w:r>
      <w:r w:rsidRPr="00452AD4">
        <w:rPr>
          <w:rFonts w:cs="Times New Roman"/>
          <w:color w:val="000000" w:themeColor="text1"/>
          <w:u w:color="000000" w:themeColor="text1"/>
        </w:rPr>
        <w:tab/>
        <w:t>A facility that does not require payment of an entrance fee is exempt from the requirements of this chapter. In order to qualify for this exemption, a facility must obtain a letter of nonapplicability from the department. A facility that has obtained a letter of nonapplicability may not hold itself out to be a continuing care retirement community.”</w:t>
      </w:r>
    </w:p>
    <w:p w14:paraId="78AE3500"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E342794" w14:textId="77777777" w:rsidR="00176EC7" w:rsidRPr="00F72440"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w:t>
      </w:r>
    </w:p>
    <w:p w14:paraId="41DF25DE"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8BC8BF8" w14:textId="77777777" w:rsidR="00176EC7" w:rsidRPr="00452AD4"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2AD4">
        <w:rPr>
          <w:rFonts w:cs="Times New Roman"/>
          <w:color w:val="000000" w:themeColor="text1"/>
          <w:u w:color="000000" w:themeColor="text1"/>
        </w:rPr>
        <w:t>SECTION</w:t>
      </w:r>
      <w:r w:rsidRPr="00452AD4">
        <w:rPr>
          <w:rFonts w:cs="Times New Roman"/>
          <w:color w:val="000000" w:themeColor="text1"/>
          <w:u w:color="000000" w:themeColor="text1"/>
        </w:rPr>
        <w:tab/>
        <w:t>8.</w:t>
      </w:r>
      <w:r w:rsidRPr="00452AD4">
        <w:rPr>
          <w:rFonts w:cs="Times New Roman"/>
        </w:rPr>
        <w:tab/>
        <w:t>This act takes effect upon approval by the Governor.</w:t>
      </w:r>
    </w:p>
    <w:p w14:paraId="64526629"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8260E28" w14:textId="77777777" w:rsidR="00176EC7" w:rsidRDefault="00176EC7"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76F9F782" w14:textId="77777777" w:rsidR="00176EC7" w:rsidRDefault="00176EC7" w:rsidP="00176EC7">
      <w:pPr>
        <w:jc w:val="both"/>
        <w:rPr>
          <w:color w:val="000000" w:themeColor="text1"/>
        </w:rPr>
      </w:pPr>
    </w:p>
    <w:p w14:paraId="6E993467" w14:textId="77777777" w:rsidR="00176EC7" w:rsidRDefault="00176EC7" w:rsidP="00176EC7">
      <w:pPr>
        <w:jc w:val="both"/>
        <w:rPr>
          <w:color w:val="000000" w:themeColor="text1"/>
        </w:rPr>
      </w:pPr>
      <w:r>
        <w:rPr>
          <w:color w:val="000000" w:themeColor="text1"/>
        </w:rPr>
        <w:t>Approved the 16</w:t>
      </w:r>
      <w:r w:rsidRPr="003D0A96">
        <w:rPr>
          <w:color w:val="000000" w:themeColor="text1"/>
          <w:vertAlign w:val="superscript"/>
        </w:rPr>
        <w:t>th</w:t>
      </w:r>
      <w:r>
        <w:rPr>
          <w:color w:val="000000" w:themeColor="text1"/>
        </w:rPr>
        <w:t xml:space="preserve"> day of May, 2022. </w:t>
      </w:r>
    </w:p>
    <w:p w14:paraId="067C4F21" w14:textId="77777777" w:rsidR="00176EC7" w:rsidRDefault="00176EC7" w:rsidP="00176EC7">
      <w:pPr>
        <w:jc w:val="center"/>
        <w:rPr>
          <w:color w:val="000000" w:themeColor="text1"/>
        </w:rPr>
      </w:pPr>
    </w:p>
    <w:p w14:paraId="69F45444" w14:textId="77777777" w:rsidR="00176EC7" w:rsidRDefault="00176EC7" w:rsidP="00176EC7">
      <w:pPr>
        <w:jc w:val="center"/>
        <w:rPr>
          <w:color w:val="000000" w:themeColor="text1"/>
        </w:rPr>
      </w:pPr>
      <w:r>
        <w:rPr>
          <w:color w:val="000000" w:themeColor="text1"/>
        </w:rPr>
        <w:t>__________</w:t>
      </w:r>
    </w:p>
    <w:p w14:paraId="771B0F2B" w14:textId="77777777" w:rsidR="002C4CDE" w:rsidRPr="00A07206" w:rsidRDefault="002C4CDE" w:rsidP="00176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4CDE" w:rsidRPr="00A07206" w:rsidSect="002C4CD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9709B" w14:textId="77777777" w:rsidR="00971A7E" w:rsidRDefault="00971A7E" w:rsidP="007D5FAC">
      <w:r>
        <w:separator/>
      </w:r>
    </w:p>
  </w:endnote>
  <w:endnote w:type="continuationSeparator" w:id="0">
    <w:p w14:paraId="71D65A14" w14:textId="77777777" w:rsidR="00971A7E" w:rsidRDefault="00971A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B36F" w14:textId="61699BBD" w:rsidR="002C4CDE" w:rsidRPr="002C4CDE" w:rsidRDefault="002C4CDE" w:rsidP="002C4CD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B2A57">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4C2F" w14:textId="77777777" w:rsidR="002C4CDE" w:rsidRDefault="002C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6C214" w14:textId="77777777" w:rsidR="00971A7E" w:rsidRDefault="00971A7E" w:rsidP="007D5FAC">
      <w:r>
        <w:separator/>
      </w:r>
    </w:p>
  </w:footnote>
  <w:footnote w:type="continuationSeparator" w:id="0">
    <w:p w14:paraId="0F4F191F" w14:textId="77777777" w:rsidR="00971A7E" w:rsidRDefault="00971A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rant"/>
    <w:docVar w:name="ActBillNo" w:val="4983"/>
    <w:docVar w:name="ActSecretary" w:val="Downey"/>
    <w:docVar w:name="ActSIdno" w:val="(205)  4983HB22"/>
    <w:docVar w:name="clipname" w:val="4983HB22"/>
    <w:docVar w:name="dvBillNumber" w:val="4983"/>
    <w:docVar w:name="dvBillNumberPrefix" w:val="H"/>
    <w:docVar w:name="dvOriginalBody" w:val="House"/>
    <w:docVar w:name="HOUSEACTFULLPATH" w:val="L:\COUNCIL\ACTS\4983HB22.DOCX"/>
    <w:docVar w:name="OrigHOUSEBillNo" w:val="4983"/>
    <w:docVar w:name="WhatActtype" w:val="AN ACT"/>
  </w:docVars>
  <w:rsids>
    <w:rsidRoot w:val="00971A7E"/>
    <w:rsid w:val="00002DE0"/>
    <w:rsid w:val="00020349"/>
    <w:rsid w:val="00020977"/>
    <w:rsid w:val="00021B0B"/>
    <w:rsid w:val="00040C05"/>
    <w:rsid w:val="0004556E"/>
    <w:rsid w:val="0004579B"/>
    <w:rsid w:val="00046979"/>
    <w:rsid w:val="00051B4F"/>
    <w:rsid w:val="00060E60"/>
    <w:rsid w:val="000673E4"/>
    <w:rsid w:val="0007088D"/>
    <w:rsid w:val="000731E9"/>
    <w:rsid w:val="00074565"/>
    <w:rsid w:val="00076A1A"/>
    <w:rsid w:val="00077DA3"/>
    <w:rsid w:val="00081300"/>
    <w:rsid w:val="00085C37"/>
    <w:rsid w:val="00092EE6"/>
    <w:rsid w:val="00096A9B"/>
    <w:rsid w:val="00096BDA"/>
    <w:rsid w:val="000A1F0E"/>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76EC7"/>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4CDE"/>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0ED8"/>
    <w:rsid w:val="00445A20"/>
    <w:rsid w:val="00447C2D"/>
    <w:rsid w:val="00451278"/>
    <w:rsid w:val="0045270B"/>
    <w:rsid w:val="004666F5"/>
    <w:rsid w:val="00472A5B"/>
    <w:rsid w:val="00475FAD"/>
    <w:rsid w:val="00480690"/>
    <w:rsid w:val="00484483"/>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2ACF"/>
    <w:rsid w:val="005C45D1"/>
    <w:rsid w:val="005C4B9E"/>
    <w:rsid w:val="005C5915"/>
    <w:rsid w:val="005D1FC6"/>
    <w:rsid w:val="005D50CE"/>
    <w:rsid w:val="005D5723"/>
    <w:rsid w:val="005D6054"/>
    <w:rsid w:val="005D7D85"/>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97F7E"/>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17B6"/>
    <w:rsid w:val="00862962"/>
    <w:rsid w:val="00865315"/>
    <w:rsid w:val="00865A3F"/>
    <w:rsid w:val="008674BA"/>
    <w:rsid w:val="00870435"/>
    <w:rsid w:val="008733F2"/>
    <w:rsid w:val="008746A0"/>
    <w:rsid w:val="0087712C"/>
    <w:rsid w:val="008836A5"/>
    <w:rsid w:val="00892AF7"/>
    <w:rsid w:val="0089468D"/>
    <w:rsid w:val="008A4185"/>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1A7E"/>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206"/>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419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26ED"/>
    <w:rsid w:val="00B36400"/>
    <w:rsid w:val="00B374C4"/>
    <w:rsid w:val="00B408FD"/>
    <w:rsid w:val="00B4797F"/>
    <w:rsid w:val="00B516BA"/>
    <w:rsid w:val="00B520A2"/>
    <w:rsid w:val="00B60515"/>
    <w:rsid w:val="00B62CAB"/>
    <w:rsid w:val="00B678FA"/>
    <w:rsid w:val="00B725BE"/>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2E0"/>
    <w:rsid w:val="00D25595"/>
    <w:rsid w:val="00D31442"/>
    <w:rsid w:val="00D3443A"/>
    <w:rsid w:val="00D366FE"/>
    <w:rsid w:val="00D375C1"/>
    <w:rsid w:val="00D45624"/>
    <w:rsid w:val="00D474CA"/>
    <w:rsid w:val="00D50473"/>
    <w:rsid w:val="00D50FB9"/>
    <w:rsid w:val="00D56467"/>
    <w:rsid w:val="00D63C04"/>
    <w:rsid w:val="00D650D0"/>
    <w:rsid w:val="00D73425"/>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05"/>
    <w:rsid w:val="00DD3B8D"/>
    <w:rsid w:val="00DD5167"/>
    <w:rsid w:val="00DD557D"/>
    <w:rsid w:val="00DF0E69"/>
    <w:rsid w:val="00DF5B8B"/>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B2A57"/>
    <w:rsid w:val="00EC47CE"/>
    <w:rsid w:val="00EC4D8C"/>
    <w:rsid w:val="00ED4871"/>
    <w:rsid w:val="00EE0FC5"/>
    <w:rsid w:val="00EE2F67"/>
    <w:rsid w:val="00EE32B8"/>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440"/>
    <w:rsid w:val="00F7296A"/>
    <w:rsid w:val="00F80C6A"/>
    <w:rsid w:val="00F86999"/>
    <w:rsid w:val="00FA7E14"/>
    <w:rsid w:val="00FB1A6A"/>
    <w:rsid w:val="00FC2818"/>
    <w:rsid w:val="00FC380D"/>
    <w:rsid w:val="00FD0D70"/>
    <w:rsid w:val="00FD5B10"/>
    <w:rsid w:val="00FD6DC2"/>
    <w:rsid w:val="00FD7AFA"/>
    <w:rsid w:val="00FE15B8"/>
    <w:rsid w:val="00FE1D78"/>
    <w:rsid w:val="00FE6887"/>
    <w:rsid w:val="00FF0473"/>
    <w:rsid w:val="00FF073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058D02"/>
  <w15:docId w15:val="{909D9A6E-F6B6-4DCF-B705-893BD592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4C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97F7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C4CD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46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16.docx" TargetMode="External"/><Relationship Id="rId13" Type="http://schemas.openxmlformats.org/officeDocument/2006/relationships/hyperlink" Target="file:///h:\sj\20220303.docx" TargetMode="External"/><Relationship Id="rId18" Type="http://schemas.openxmlformats.org/officeDocument/2006/relationships/hyperlink" Target="file:///h:\sj\2022051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21-22\4983_20220216.docx" TargetMode="External"/><Relationship Id="rId7" Type="http://schemas.openxmlformats.org/officeDocument/2006/relationships/hyperlink" Target="file:///h:\hj\20220216.docx" TargetMode="External"/><Relationship Id="rId12" Type="http://schemas.openxmlformats.org/officeDocument/2006/relationships/hyperlink" Target="file:///h:\hj\20220303.docx" TargetMode="External"/><Relationship Id="rId17" Type="http://schemas.openxmlformats.org/officeDocument/2006/relationships/hyperlink" Target="file:///h:\sj\2022050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505.docx" TargetMode="External"/><Relationship Id="rId20" Type="http://schemas.openxmlformats.org/officeDocument/2006/relationships/hyperlink" Target="http://www.scstatehouse.gov/billsearch.php?billnumbers=4983&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02.docx" TargetMode="External"/><Relationship Id="rId24" Type="http://schemas.openxmlformats.org/officeDocument/2006/relationships/hyperlink" Target="file:///p:\pprever\2021-22\4983_20220426.docx" TargetMode="External"/><Relationship Id="rId5" Type="http://schemas.openxmlformats.org/officeDocument/2006/relationships/footnotes" Target="footnotes.xml"/><Relationship Id="rId15" Type="http://schemas.openxmlformats.org/officeDocument/2006/relationships/hyperlink" Target="file:///h:\sj\20220426.docx" TargetMode="External"/><Relationship Id="rId23" Type="http://schemas.openxmlformats.org/officeDocument/2006/relationships/hyperlink" Target="file:///p:\pprever\2021-22\4983_20220228.docx" TargetMode="External"/><Relationship Id="rId28" Type="http://schemas.openxmlformats.org/officeDocument/2006/relationships/theme" Target="theme/theme1.xml"/><Relationship Id="rId10" Type="http://schemas.openxmlformats.org/officeDocument/2006/relationships/hyperlink" Target="file:///h:\hj\20220302.docx" TargetMode="External"/><Relationship Id="rId19" Type="http://schemas.openxmlformats.org/officeDocument/2006/relationships/hyperlink" Target="file:///h:\sj\20220512.docx" TargetMode="External"/><Relationship Id="rId4" Type="http://schemas.openxmlformats.org/officeDocument/2006/relationships/webSettings" Target="webSettings.xml"/><Relationship Id="rId9" Type="http://schemas.openxmlformats.org/officeDocument/2006/relationships/hyperlink" Target="file:///h:\hj\20220224.docx" TargetMode="External"/><Relationship Id="rId14" Type="http://schemas.openxmlformats.org/officeDocument/2006/relationships/hyperlink" Target="file:///h:\sj\20220303.docx" TargetMode="External"/><Relationship Id="rId22" Type="http://schemas.openxmlformats.org/officeDocument/2006/relationships/hyperlink" Target="file:///p:\pprever\2021-22\4983_2022022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AA15-2122-4CBA-AE94-7DF3D402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4331</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4983: Continuing care retirement communities - South Carolina Legislature Online</dc:title>
  <dc:subject/>
  <dc:creator>Niki Downey</dc:creator>
  <cp:keywords/>
  <dc:description/>
  <cp:lastModifiedBy>Danny Crook</cp:lastModifiedBy>
  <cp:revision>2</cp:revision>
  <cp:lastPrinted>2022-05-10T23:27:00Z</cp:lastPrinted>
  <dcterms:created xsi:type="dcterms:W3CDTF">2022-06-10T20:10:00Z</dcterms:created>
  <dcterms:modified xsi:type="dcterms:W3CDTF">2022-06-10T20:10:00Z</dcterms:modified>
</cp:coreProperties>
</file>