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0AFF">
        <w:rPr>
          <w:rFonts w:cs="Times New Roman"/>
          <w:b/>
        </w:rPr>
        <w:t>South Carolina General Assembly</w:t>
      </w: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0AFF">
        <w:rPr>
          <w:rFonts w:cs="Times New Roman"/>
        </w:rPr>
        <w:t>124th Session, 2021-2022</w:t>
      </w: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AFF" w:rsidRPr="00040AFF" w:rsidRDefault="00441FD5"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A119, R119, S525</w:t>
      </w: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AFF">
        <w:rPr>
          <w:rFonts w:cs="Times New Roman"/>
          <w:b/>
        </w:rPr>
        <w:t>STATUS INFORMATION</w:t>
      </w: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AFF">
        <w:rPr>
          <w:rFonts w:cs="Times New Roman"/>
        </w:rPr>
        <w:t>General Bill</w:t>
      </w: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AFF">
        <w:rPr>
          <w:rFonts w:cs="Times New Roman"/>
        </w:rPr>
        <w:t>Sponsors: Senators Gambrell, Verdin, Massey, Loftis, Garrett and Gustafson</w:t>
      </w: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AFF">
        <w:rPr>
          <w:rFonts w:cs="Times New Roman"/>
        </w:rPr>
        <w:t>Document Path: l:\s-res\mwg\001adva.sp.mwg.docx</w:t>
      </w: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25F6" w:rsidRDefault="007625F6"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4, 2021</w:t>
      </w:r>
    </w:p>
    <w:p w:rsidR="007625F6" w:rsidRDefault="007625F6"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18, 2021</w:t>
      </w:r>
    </w:p>
    <w:p w:rsidR="007625F6" w:rsidRDefault="007625F6"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January 20, 2022</w:t>
      </w:r>
    </w:p>
    <w:p w:rsidR="007625F6" w:rsidRDefault="007625F6"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January 20, 2022</w:t>
      </w:r>
    </w:p>
    <w:p w:rsidR="007625F6" w:rsidRDefault="007625F6"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January 27, 2022, Signed</w:t>
      </w:r>
    </w:p>
    <w:p w:rsidR="007625F6" w:rsidRDefault="007625F6"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AFF">
        <w:rPr>
          <w:rFonts w:cs="Times New Roman"/>
        </w:rPr>
        <w:t>Summary: Solid Waste Policy and Management Act</w:t>
      </w: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AFF" w:rsidRPr="00040AFF" w:rsidRDefault="00040AFF" w:rsidP="00040AFF">
      <w:pPr>
        <w:widowControl w:val="0"/>
        <w:tabs>
          <w:tab w:val="center" w:pos="590"/>
          <w:tab w:val="center" w:pos="1440"/>
          <w:tab w:val="left" w:pos="1872"/>
          <w:tab w:val="left" w:pos="9187"/>
        </w:tabs>
        <w:rPr>
          <w:rFonts w:cs="Times New Roman"/>
        </w:rPr>
      </w:pPr>
      <w:r w:rsidRPr="00040AFF">
        <w:rPr>
          <w:rFonts w:cs="Times New Roman"/>
          <w:b/>
        </w:rPr>
        <w:t>HISTORY OF LEGISLATIVE ACTIONS</w:t>
      </w:r>
    </w:p>
    <w:p w:rsidR="00040AFF" w:rsidRPr="00040AFF" w:rsidRDefault="00040AFF" w:rsidP="00040AFF">
      <w:pPr>
        <w:widowControl w:val="0"/>
        <w:tabs>
          <w:tab w:val="center" w:pos="590"/>
          <w:tab w:val="center" w:pos="1440"/>
          <w:tab w:val="left" w:pos="1872"/>
          <w:tab w:val="left" w:pos="9187"/>
        </w:tabs>
        <w:rPr>
          <w:rFonts w:cs="Times New Roman"/>
        </w:rPr>
      </w:pPr>
    </w:p>
    <w:p w:rsidR="00040AFF" w:rsidRPr="00040AFF" w:rsidRDefault="00040AFF" w:rsidP="00040AFF">
      <w:pPr>
        <w:widowControl w:val="0"/>
        <w:tabs>
          <w:tab w:val="center" w:pos="590"/>
          <w:tab w:val="center" w:pos="1440"/>
          <w:tab w:val="left" w:pos="1872"/>
          <w:tab w:val="left" w:pos="9187"/>
        </w:tabs>
        <w:rPr>
          <w:rFonts w:cs="Times New Roman"/>
        </w:rPr>
      </w:pPr>
      <w:r w:rsidRPr="00040AFF">
        <w:rPr>
          <w:rFonts w:cs="Times New Roman"/>
          <w:u w:val="single"/>
        </w:rPr>
        <w:tab/>
        <w:t>Date</w:t>
      </w:r>
      <w:r w:rsidRPr="00040AFF">
        <w:rPr>
          <w:rFonts w:cs="Times New Roman"/>
          <w:u w:val="single"/>
        </w:rPr>
        <w:tab/>
        <w:t>Body</w:t>
      </w:r>
      <w:r w:rsidRPr="00040AFF">
        <w:rPr>
          <w:rFonts w:cs="Times New Roman"/>
          <w:u w:val="single"/>
        </w:rPr>
        <w:tab/>
        <w:t>Action Description with journal page number</w:t>
      </w:r>
      <w:r w:rsidRPr="00040AFF">
        <w:rPr>
          <w:rFonts w:cs="Times New Roman"/>
          <w:u w:val="single"/>
        </w:rPr>
        <w:tab/>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Introduced and read first time (</w:t>
      </w:r>
      <w:hyperlink r:id="rId6" w:history="1">
        <w:r w:rsidRPr="00D046EB">
          <w:rPr>
            <w:rStyle w:val="Hyperlink"/>
            <w:rFonts w:cs="Times New Roman"/>
          </w:rPr>
          <w:t>Senate Journal</w:t>
        </w:r>
        <w:r w:rsidRPr="00D046EB">
          <w:rPr>
            <w:rStyle w:val="Hyperlink"/>
            <w:rFonts w:cs="Times New Roman"/>
          </w:rPr>
          <w:noBreakHyphen/>
          <w:t>page 3</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 xml:space="preserve">Referred to Committee on </w:t>
      </w:r>
      <w:r w:rsidRPr="00D046EB">
        <w:rPr>
          <w:rFonts w:cs="Times New Roman"/>
          <w:b/>
        </w:rPr>
        <w:t>Medical Affairs</w:t>
      </w:r>
      <w:r>
        <w:rPr>
          <w:rFonts w:cs="Times New Roman"/>
        </w:rPr>
        <w:t xml:space="preserve"> (</w:t>
      </w:r>
      <w:hyperlink r:id="rId7" w:history="1">
        <w:r w:rsidRPr="00D046EB">
          <w:rPr>
            <w:rStyle w:val="Hyperlink"/>
            <w:rFonts w:cs="Times New Roman"/>
          </w:rPr>
          <w:t>Senate Journal</w:t>
        </w:r>
        <w:r w:rsidRPr="00D046EB">
          <w:rPr>
            <w:rStyle w:val="Hyperlink"/>
            <w:rFonts w:cs="Times New Roman"/>
          </w:rPr>
          <w:noBreakHyphen/>
          <w:t>page 3</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 xml:space="preserve">Committee report: Favorable with amendment </w:t>
      </w:r>
      <w:r w:rsidRPr="00D046EB">
        <w:rPr>
          <w:rFonts w:cs="Times New Roman"/>
          <w:b/>
        </w:rPr>
        <w:t>Medical Affairs</w:t>
      </w:r>
      <w:r>
        <w:rPr>
          <w:rFonts w:cs="Times New Roman"/>
        </w:rPr>
        <w:t xml:space="preserve"> (</w:t>
      </w:r>
      <w:hyperlink r:id="rId8" w:history="1">
        <w:r w:rsidRPr="00D046EB">
          <w:rPr>
            <w:rStyle w:val="Hyperlink"/>
            <w:rFonts w:cs="Times New Roman"/>
          </w:rPr>
          <w:t>Senate Journal</w:t>
        </w:r>
        <w:r w:rsidRPr="00D046EB">
          <w:rPr>
            <w:rStyle w:val="Hyperlink"/>
            <w:rFonts w:cs="Times New Roman"/>
          </w:rPr>
          <w:noBreakHyphen/>
          <w:t>page 9</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2/19/2021</w:t>
      </w:r>
      <w:r>
        <w:rPr>
          <w:rFonts w:cs="Times New Roman"/>
        </w:rPr>
        <w:tab/>
      </w:r>
      <w:r>
        <w:rPr>
          <w:rFonts w:cs="Times New Roman"/>
        </w:rPr>
        <w:tab/>
        <w:t>Scrivener's error corrected</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Debate interrupted (</w:t>
      </w:r>
      <w:hyperlink r:id="rId9" w:history="1">
        <w:r w:rsidRPr="00D046EB">
          <w:rPr>
            <w:rStyle w:val="Hyperlink"/>
            <w:rFonts w:cs="Times New Roman"/>
          </w:rPr>
          <w:t>Senate Journal</w:t>
        </w:r>
        <w:r w:rsidRPr="00D046EB">
          <w:rPr>
            <w:rStyle w:val="Hyperlink"/>
            <w:rFonts w:cs="Times New Roman"/>
          </w:rPr>
          <w:noBreakHyphen/>
          <w:t>page 23</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Committee Amendment Tabled (</w:t>
      </w:r>
      <w:hyperlink r:id="rId10" w:history="1">
        <w:r w:rsidRPr="00D046EB">
          <w:rPr>
            <w:rStyle w:val="Hyperlink"/>
            <w:rFonts w:cs="Times New Roman"/>
          </w:rPr>
          <w:t>Senate Journal</w:t>
        </w:r>
        <w:r w:rsidRPr="00D046EB">
          <w:rPr>
            <w:rStyle w:val="Hyperlink"/>
            <w:rFonts w:cs="Times New Roman"/>
          </w:rPr>
          <w:noBreakHyphen/>
          <w:t>page 27</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Amended (</w:t>
      </w:r>
      <w:hyperlink r:id="rId11" w:history="1">
        <w:r w:rsidRPr="00D046EB">
          <w:rPr>
            <w:rStyle w:val="Hyperlink"/>
            <w:rFonts w:cs="Times New Roman"/>
          </w:rPr>
          <w:t>Senate Journal</w:t>
        </w:r>
        <w:r w:rsidRPr="00D046EB">
          <w:rPr>
            <w:rStyle w:val="Hyperlink"/>
            <w:rFonts w:cs="Times New Roman"/>
          </w:rPr>
          <w:noBreakHyphen/>
          <w:t>page 27</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Read second time (</w:t>
      </w:r>
      <w:hyperlink r:id="rId12" w:history="1">
        <w:r w:rsidRPr="00D046EB">
          <w:rPr>
            <w:rStyle w:val="Hyperlink"/>
            <w:rFonts w:cs="Times New Roman"/>
          </w:rPr>
          <w:t>Senate Journal</w:t>
        </w:r>
        <w:r w:rsidRPr="00D046EB">
          <w:rPr>
            <w:rStyle w:val="Hyperlink"/>
            <w:rFonts w:cs="Times New Roman"/>
          </w:rPr>
          <w:noBreakHyphen/>
          <w:t>page 27</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Roll call Ayes</w:t>
      </w:r>
      <w:r>
        <w:rPr>
          <w:rFonts w:cs="Times New Roman"/>
        </w:rPr>
        <w:noBreakHyphen/>
        <w:t>39  Nays</w:t>
      </w:r>
      <w:r>
        <w:rPr>
          <w:rFonts w:cs="Times New Roman"/>
        </w:rPr>
        <w:noBreakHyphen/>
        <w:t>3 (</w:t>
      </w:r>
      <w:hyperlink r:id="rId13" w:history="1">
        <w:r w:rsidRPr="00D046EB">
          <w:rPr>
            <w:rStyle w:val="Hyperlink"/>
            <w:rFonts w:cs="Times New Roman"/>
          </w:rPr>
          <w:t>Senate Journal</w:t>
        </w:r>
        <w:r w:rsidRPr="00D046EB">
          <w:rPr>
            <w:rStyle w:val="Hyperlink"/>
            <w:rFonts w:cs="Times New Roman"/>
          </w:rPr>
          <w:noBreakHyphen/>
          <w:t>page 27</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Unanimous consent for third reading on next legislative day (</w:t>
      </w:r>
      <w:hyperlink r:id="rId14" w:history="1">
        <w:r w:rsidRPr="00D046EB">
          <w:rPr>
            <w:rStyle w:val="Hyperlink"/>
            <w:rFonts w:cs="Times New Roman"/>
          </w:rPr>
          <w:t>Senate Journal</w:t>
        </w:r>
        <w:r w:rsidRPr="00D046EB">
          <w:rPr>
            <w:rStyle w:val="Hyperlink"/>
            <w:rFonts w:cs="Times New Roman"/>
          </w:rPr>
          <w:noBreakHyphen/>
          <w:t>page 27</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Senate</w:t>
      </w:r>
      <w:r>
        <w:rPr>
          <w:rFonts w:cs="Times New Roman"/>
        </w:rPr>
        <w:tab/>
        <w:t>Read third time and sent to House (</w:t>
      </w:r>
      <w:hyperlink r:id="rId15" w:history="1">
        <w:r w:rsidRPr="00D046EB">
          <w:rPr>
            <w:rStyle w:val="Hyperlink"/>
            <w:rFonts w:cs="Times New Roman"/>
          </w:rPr>
          <w:t>Senate Journal</w:t>
        </w:r>
        <w:r w:rsidRPr="00D046EB">
          <w:rPr>
            <w:rStyle w:val="Hyperlink"/>
            <w:rFonts w:cs="Times New Roman"/>
          </w:rPr>
          <w:noBreakHyphen/>
          <w:t>page 1</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Introduced and read first time (</w:t>
      </w:r>
      <w:hyperlink r:id="rId16" w:history="1">
        <w:r w:rsidRPr="00D046EB">
          <w:rPr>
            <w:rStyle w:val="Hyperlink"/>
            <w:rFonts w:cs="Times New Roman"/>
          </w:rPr>
          <w:t>House Journal</w:t>
        </w:r>
        <w:r w:rsidRPr="00D046EB">
          <w:rPr>
            <w:rStyle w:val="Hyperlink"/>
            <w:rFonts w:cs="Times New Roman"/>
          </w:rPr>
          <w:noBreakHyphen/>
          <w:t>page 11</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Referred to Committee on </w:t>
      </w:r>
      <w:r w:rsidRPr="00D046EB">
        <w:rPr>
          <w:rFonts w:cs="Times New Roman"/>
          <w:b/>
        </w:rPr>
        <w:t>Agriculture, Natural Resources and Environmental Affairs</w:t>
      </w:r>
      <w:r>
        <w:rPr>
          <w:rFonts w:cs="Times New Roman"/>
        </w:rPr>
        <w:t xml:space="preserve"> (</w:t>
      </w:r>
      <w:hyperlink r:id="rId17" w:history="1">
        <w:r w:rsidRPr="00D046EB">
          <w:rPr>
            <w:rStyle w:val="Hyperlink"/>
            <w:rFonts w:cs="Times New Roman"/>
          </w:rPr>
          <w:t>House Journal</w:t>
        </w:r>
        <w:r w:rsidRPr="00D046EB">
          <w:rPr>
            <w:rStyle w:val="Hyperlink"/>
            <w:rFonts w:cs="Times New Roman"/>
          </w:rPr>
          <w:noBreakHyphen/>
          <w:t>page 11</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r>
      <w:r>
        <w:rPr>
          <w:rFonts w:cs="Times New Roman"/>
        </w:rPr>
        <w:tab/>
        <w:t>Scrivener's error corrected</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 xml:space="preserve">Committee report: Favorable </w:t>
      </w:r>
      <w:r w:rsidRPr="00D046EB">
        <w:rPr>
          <w:rFonts w:cs="Times New Roman"/>
          <w:b/>
        </w:rPr>
        <w:t>Agriculture, Natural Resources and Environmental Affairs</w:t>
      </w:r>
      <w:r>
        <w:rPr>
          <w:rFonts w:cs="Times New Roman"/>
        </w:rPr>
        <w:t xml:space="preserve"> (</w:t>
      </w:r>
      <w:hyperlink r:id="rId18" w:history="1">
        <w:r w:rsidRPr="00D046EB">
          <w:rPr>
            <w:rStyle w:val="Hyperlink"/>
            <w:rFonts w:cs="Times New Roman"/>
          </w:rPr>
          <w:t>House Journal</w:t>
        </w:r>
        <w:r w:rsidRPr="00D046EB">
          <w:rPr>
            <w:rStyle w:val="Hyperlink"/>
            <w:rFonts w:cs="Times New Roman"/>
          </w:rPr>
          <w:noBreakHyphen/>
          <w:t>page 66</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Requests for debate</w:t>
      </w:r>
      <w:r>
        <w:rPr>
          <w:rFonts w:cs="Times New Roman"/>
        </w:rPr>
        <w:noBreakHyphen/>
        <w:t>Rep(s).  Hiott, Carter, Hixon, McCabe, King, Ballentine, Bryant, Huggins, Wooten, May, Matthews, Elliott, Magnuson, Ott, Anderson, Oremus, Forrest, Chumley, Kirby, Henegan, Clyburn, Hosey, Hart, Bailey, R. Williams, Jefferson, McCravy, M. Smith, Garvin, S. Williams. Davis, McDaniel (</w:t>
      </w:r>
      <w:hyperlink r:id="rId19" w:history="1">
        <w:r w:rsidRPr="00D046EB">
          <w:rPr>
            <w:rStyle w:val="Hyperlink"/>
            <w:rFonts w:cs="Times New Roman"/>
          </w:rPr>
          <w:t>House Journal</w:t>
        </w:r>
        <w:r w:rsidRPr="00D046EB">
          <w:rPr>
            <w:rStyle w:val="Hyperlink"/>
            <w:rFonts w:cs="Times New Roman"/>
          </w:rPr>
          <w:noBreakHyphen/>
          <w:t>page 39</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Debate adjourned until  Thur., 5</w:t>
      </w:r>
      <w:r>
        <w:rPr>
          <w:rFonts w:cs="Times New Roman"/>
        </w:rPr>
        <w:noBreakHyphen/>
        <w:t>6</w:t>
      </w:r>
      <w:r>
        <w:rPr>
          <w:rFonts w:cs="Times New Roman"/>
        </w:rPr>
        <w:noBreakHyphen/>
        <w:t>21 (</w:t>
      </w:r>
      <w:hyperlink r:id="rId20" w:history="1">
        <w:r w:rsidRPr="00D046EB">
          <w:rPr>
            <w:rStyle w:val="Hyperlink"/>
            <w:rFonts w:cs="Times New Roman"/>
          </w:rPr>
          <w:t>House Journal</w:t>
        </w:r>
        <w:r w:rsidRPr="00D046EB">
          <w:rPr>
            <w:rStyle w:val="Hyperlink"/>
            <w:rFonts w:cs="Times New Roman"/>
          </w:rPr>
          <w:noBreakHyphen/>
          <w:t>page 35</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Amended (</w:t>
      </w:r>
      <w:hyperlink r:id="rId21" w:history="1">
        <w:r w:rsidRPr="00D046EB">
          <w:rPr>
            <w:rStyle w:val="Hyperlink"/>
            <w:rFonts w:cs="Times New Roman"/>
          </w:rPr>
          <w:t>House Journal</w:t>
        </w:r>
        <w:r w:rsidRPr="00D046EB">
          <w:rPr>
            <w:rStyle w:val="Hyperlink"/>
            <w:rFonts w:cs="Times New Roman"/>
          </w:rPr>
          <w:noBreakHyphen/>
          <w:t>page 59</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Read second time (</w:t>
      </w:r>
      <w:hyperlink r:id="rId22" w:history="1">
        <w:r w:rsidRPr="00D046EB">
          <w:rPr>
            <w:rStyle w:val="Hyperlink"/>
            <w:rFonts w:cs="Times New Roman"/>
          </w:rPr>
          <w:t>House Journal</w:t>
        </w:r>
        <w:r w:rsidRPr="00D046EB">
          <w:rPr>
            <w:rStyle w:val="Hyperlink"/>
            <w:rFonts w:cs="Times New Roman"/>
          </w:rPr>
          <w:noBreakHyphen/>
          <w:t>page 59</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Roll call Yeas</w:t>
      </w:r>
      <w:r>
        <w:rPr>
          <w:rFonts w:cs="Times New Roman"/>
        </w:rPr>
        <w:noBreakHyphen/>
        <w:t>99  Nays</w:t>
      </w:r>
      <w:r>
        <w:rPr>
          <w:rFonts w:cs="Times New Roman"/>
        </w:rPr>
        <w:noBreakHyphen/>
        <w:t>15 (</w:t>
      </w:r>
      <w:hyperlink r:id="rId23" w:history="1">
        <w:r w:rsidRPr="00D046EB">
          <w:rPr>
            <w:rStyle w:val="Hyperlink"/>
            <w:rFonts w:cs="Times New Roman"/>
          </w:rPr>
          <w:t>House Journal</w:t>
        </w:r>
        <w:r w:rsidRPr="00D046EB">
          <w:rPr>
            <w:rStyle w:val="Hyperlink"/>
            <w:rFonts w:cs="Times New Roman"/>
          </w:rPr>
          <w:noBreakHyphen/>
          <w:t>page 64</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third time and sent to Senate</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Returned to Senate with amendments (</w:t>
      </w:r>
      <w:hyperlink r:id="rId24" w:history="1">
        <w:r w:rsidRPr="00D046EB">
          <w:rPr>
            <w:rStyle w:val="Hyperlink"/>
            <w:rFonts w:cs="Times New Roman"/>
          </w:rPr>
          <w:t>House Journal</w:t>
        </w:r>
        <w:r w:rsidRPr="00D046EB">
          <w:rPr>
            <w:rStyle w:val="Hyperlink"/>
            <w:rFonts w:cs="Times New Roman"/>
          </w:rPr>
          <w:noBreakHyphen/>
          <w:t>page 40</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r>
      <w:r>
        <w:rPr>
          <w:rFonts w:cs="Times New Roman"/>
        </w:rPr>
        <w:tab/>
        <w:t>Scrivener's error corrected</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lastRenderedPageBreak/>
        <w:tab/>
        <w:t>5/12/2021</w:t>
      </w:r>
      <w:r>
        <w:rPr>
          <w:rFonts w:cs="Times New Roman"/>
        </w:rPr>
        <w:tab/>
        <w:t>Senate</w:t>
      </w:r>
      <w:r>
        <w:rPr>
          <w:rFonts w:cs="Times New Roman"/>
        </w:rPr>
        <w:tab/>
        <w:t>House amendment amended (</w:t>
      </w:r>
      <w:hyperlink r:id="rId25" w:history="1">
        <w:r w:rsidRPr="00D046EB">
          <w:rPr>
            <w:rStyle w:val="Hyperlink"/>
            <w:rFonts w:cs="Times New Roman"/>
          </w:rPr>
          <w:t>Senate Journal</w:t>
        </w:r>
        <w:r w:rsidRPr="00D046EB">
          <w:rPr>
            <w:rStyle w:val="Hyperlink"/>
            <w:rFonts w:cs="Times New Roman"/>
          </w:rPr>
          <w:noBreakHyphen/>
          <w:t>page 10</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6" w:history="1">
        <w:r w:rsidRPr="00D046EB">
          <w:rPr>
            <w:rStyle w:val="Hyperlink"/>
            <w:rFonts w:cs="Times New Roman"/>
          </w:rPr>
          <w:t>Senate Journal</w:t>
        </w:r>
        <w:r w:rsidRPr="00D046EB">
          <w:rPr>
            <w:rStyle w:val="Hyperlink"/>
            <w:rFonts w:cs="Times New Roman"/>
          </w:rPr>
          <w:noBreakHyphen/>
          <w:t>page 10</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House amendment amended (</w:t>
      </w:r>
      <w:hyperlink r:id="rId27" w:history="1">
        <w:r w:rsidRPr="00D046EB">
          <w:rPr>
            <w:rStyle w:val="Hyperlink"/>
            <w:rFonts w:cs="Times New Roman"/>
          </w:rPr>
          <w:t>Senate Journal</w:t>
        </w:r>
        <w:r w:rsidRPr="00D046EB">
          <w:rPr>
            <w:rStyle w:val="Hyperlink"/>
            <w:rFonts w:cs="Times New Roman"/>
          </w:rPr>
          <w:noBreakHyphen/>
          <w:t>page 10</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Roll call Ayes</w:t>
      </w:r>
      <w:r>
        <w:rPr>
          <w:rFonts w:cs="Times New Roman"/>
        </w:rPr>
        <w:noBreakHyphen/>
        <w:t>36  Nays</w:t>
      </w:r>
      <w:r>
        <w:rPr>
          <w:rFonts w:cs="Times New Roman"/>
        </w:rPr>
        <w:noBreakHyphen/>
        <w:t>5 (</w:t>
      </w:r>
      <w:hyperlink r:id="rId28" w:history="1">
        <w:r w:rsidRPr="00D046EB">
          <w:rPr>
            <w:rStyle w:val="Hyperlink"/>
            <w:rFonts w:cs="Times New Roman"/>
          </w:rPr>
          <w:t>Senate Journal</w:t>
        </w:r>
        <w:r w:rsidRPr="00D046EB">
          <w:rPr>
            <w:rStyle w:val="Hyperlink"/>
            <w:rFonts w:cs="Times New Roman"/>
          </w:rPr>
          <w:noBreakHyphen/>
          <w:t>page 10</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Returned to House with amendments (</w:t>
      </w:r>
      <w:hyperlink r:id="rId29" w:history="1">
        <w:r w:rsidRPr="00D046EB">
          <w:rPr>
            <w:rStyle w:val="Hyperlink"/>
            <w:rFonts w:cs="Times New Roman"/>
          </w:rPr>
          <w:t>Senate Journal</w:t>
        </w:r>
        <w:r w:rsidRPr="00D046EB">
          <w:rPr>
            <w:rStyle w:val="Hyperlink"/>
            <w:rFonts w:cs="Times New Roman"/>
          </w:rPr>
          <w:noBreakHyphen/>
          <w:t>page 10</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Scrivener's error corrected</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Non</w:t>
      </w:r>
      <w:r>
        <w:rPr>
          <w:rFonts w:cs="Times New Roman"/>
        </w:rPr>
        <w:noBreakHyphen/>
        <w:t>concurrence in Senate amendment (</w:t>
      </w:r>
      <w:hyperlink r:id="rId30" w:history="1">
        <w:r w:rsidRPr="00D046EB">
          <w:rPr>
            <w:rStyle w:val="Hyperlink"/>
            <w:rFonts w:cs="Times New Roman"/>
          </w:rPr>
          <w:t>House Journal</w:t>
        </w:r>
        <w:r w:rsidRPr="00D046EB">
          <w:rPr>
            <w:rStyle w:val="Hyperlink"/>
            <w:rFonts w:cs="Times New Roman"/>
          </w:rPr>
          <w:noBreakHyphen/>
          <w:t>page 31</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Roll call Yeas</w:t>
      </w:r>
      <w:r>
        <w:rPr>
          <w:rFonts w:cs="Times New Roman"/>
        </w:rPr>
        <w:noBreakHyphen/>
        <w:t>0  Nays</w:t>
      </w:r>
      <w:r>
        <w:rPr>
          <w:rFonts w:cs="Times New Roman"/>
        </w:rPr>
        <w:noBreakHyphen/>
        <w:t>107 (</w:t>
      </w:r>
      <w:hyperlink r:id="rId31" w:history="1">
        <w:r w:rsidRPr="00D046EB">
          <w:rPr>
            <w:rStyle w:val="Hyperlink"/>
            <w:rFonts w:cs="Times New Roman"/>
          </w:rPr>
          <w:t>House Journal</w:t>
        </w:r>
        <w:r w:rsidRPr="00D046EB">
          <w:rPr>
            <w:rStyle w:val="Hyperlink"/>
            <w:rFonts w:cs="Times New Roman"/>
          </w:rPr>
          <w:noBreakHyphen/>
          <w:t>page 31</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Senate</w:t>
      </w:r>
      <w:r>
        <w:rPr>
          <w:rFonts w:cs="Times New Roman"/>
        </w:rPr>
        <w:tab/>
        <w:t>Senate insists upon amendment and conference committee appointed  Gambrell, Senn, Garrett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House</w:t>
      </w:r>
      <w:r>
        <w:rPr>
          <w:rFonts w:cs="Times New Roman"/>
        </w:rPr>
        <w:tab/>
        <w:t>Conference committee appointed  Hiott, Burns, Atkinson</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Conference report received and adopted (</w:t>
      </w:r>
      <w:hyperlink r:id="rId32" w:history="1">
        <w:r w:rsidRPr="00D046EB">
          <w:rPr>
            <w:rStyle w:val="Hyperlink"/>
            <w:rFonts w:cs="Times New Roman"/>
          </w:rPr>
          <w:t>House Journal</w:t>
        </w:r>
        <w:r w:rsidRPr="00D046EB">
          <w:rPr>
            <w:rStyle w:val="Hyperlink"/>
            <w:rFonts w:cs="Times New Roman"/>
          </w:rPr>
          <w:noBreakHyphen/>
          <w:t>page 11</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Roll call Yeas</w:t>
      </w:r>
      <w:r>
        <w:rPr>
          <w:rFonts w:cs="Times New Roman"/>
        </w:rPr>
        <w:noBreakHyphen/>
        <w:t>78  Nays</w:t>
      </w:r>
      <w:r>
        <w:rPr>
          <w:rFonts w:cs="Times New Roman"/>
        </w:rPr>
        <w:noBreakHyphen/>
        <w:t>29 (</w:t>
      </w:r>
      <w:hyperlink r:id="rId33" w:history="1">
        <w:r w:rsidRPr="00D046EB">
          <w:rPr>
            <w:rStyle w:val="Hyperlink"/>
            <w:rFonts w:cs="Times New Roman"/>
          </w:rPr>
          <w:t>House Journal</w:t>
        </w:r>
        <w:r w:rsidRPr="00D046EB">
          <w:rPr>
            <w:rStyle w:val="Hyperlink"/>
            <w:rFonts w:cs="Times New Roman"/>
          </w:rPr>
          <w:noBreakHyphen/>
          <w:t>page 19</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Senate</w:t>
      </w:r>
      <w:r>
        <w:rPr>
          <w:rFonts w:cs="Times New Roman"/>
        </w:rPr>
        <w:tab/>
        <w:t>Conference report received and adopted (</w:t>
      </w:r>
      <w:hyperlink r:id="rId34" w:history="1">
        <w:r w:rsidRPr="00D046EB">
          <w:rPr>
            <w:rStyle w:val="Hyperlink"/>
            <w:rFonts w:cs="Times New Roman"/>
          </w:rPr>
          <w:t>Senate Journal</w:t>
        </w:r>
        <w:r w:rsidRPr="00D046EB">
          <w:rPr>
            <w:rStyle w:val="Hyperlink"/>
            <w:rFonts w:cs="Times New Roman"/>
          </w:rPr>
          <w:noBreakHyphen/>
          <w:t>page 17</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35" w:history="1">
        <w:r w:rsidRPr="00D046EB">
          <w:rPr>
            <w:rStyle w:val="Hyperlink"/>
            <w:rFonts w:cs="Times New Roman"/>
          </w:rPr>
          <w:t>Senate Journal</w:t>
        </w:r>
        <w:r w:rsidRPr="00D046EB">
          <w:rPr>
            <w:rStyle w:val="Hyperlink"/>
            <w:rFonts w:cs="Times New Roman"/>
          </w:rPr>
          <w:noBreakHyphen/>
          <w:t>page 17</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House</w:t>
      </w:r>
      <w:r>
        <w:rPr>
          <w:rFonts w:cs="Times New Roman"/>
        </w:rPr>
        <w:tab/>
        <w:t>Ordered enrolled for ratification (</w:t>
      </w:r>
      <w:hyperlink r:id="rId36" w:history="1">
        <w:r w:rsidRPr="00D046EB">
          <w:rPr>
            <w:rStyle w:val="Hyperlink"/>
            <w:rFonts w:cs="Times New Roman"/>
          </w:rPr>
          <w:t>House Journal</w:t>
        </w:r>
        <w:r w:rsidRPr="00D046EB">
          <w:rPr>
            <w:rStyle w:val="Hyperlink"/>
            <w:rFonts w:cs="Times New Roman"/>
          </w:rPr>
          <w:noBreakHyphen/>
          <w:t>page 1</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r>
      <w:r>
        <w:rPr>
          <w:rFonts w:cs="Times New Roman"/>
        </w:rPr>
        <w:tab/>
        <w:t>Ratified R  119 (</w:t>
      </w:r>
      <w:hyperlink r:id="rId37" w:history="1">
        <w:r w:rsidRPr="00D046EB">
          <w:rPr>
            <w:rStyle w:val="Hyperlink"/>
            <w:rFonts w:cs="Times New Roman"/>
          </w:rPr>
          <w:t>Senate Journal</w:t>
        </w:r>
        <w:r w:rsidRPr="00D046EB">
          <w:rPr>
            <w:rStyle w:val="Hyperlink"/>
            <w:rFonts w:cs="Times New Roman"/>
          </w:rPr>
          <w:noBreakHyphen/>
          <w:t>page 34</w:t>
        </w:r>
      </w:hyperlink>
      <w:r>
        <w:rPr>
          <w:rFonts w:cs="Times New Roman"/>
        </w:rPr>
        <w:t>)</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r>
      <w:r>
        <w:rPr>
          <w:rFonts w:cs="Times New Roman"/>
        </w:rPr>
        <w:tab/>
        <w:t>Signed By Governor</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r>
      <w:r>
        <w:rPr>
          <w:rFonts w:cs="Times New Roman"/>
        </w:rPr>
        <w:tab/>
        <w:t>Effective date  01/27/2022</w:t>
      </w:r>
    </w:p>
    <w:p w:rsidR="00441FD5" w:rsidRDefault="00441FD5" w:rsidP="00441FD5">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r>
      <w:r>
        <w:rPr>
          <w:rFonts w:cs="Times New Roman"/>
        </w:rPr>
        <w:tab/>
        <w:t>Act No.  119</w:t>
      </w:r>
    </w:p>
    <w:p w:rsidR="00441FD5" w:rsidRDefault="00441FD5" w:rsidP="00441FD5">
      <w:pPr>
        <w:widowControl w:val="0"/>
        <w:tabs>
          <w:tab w:val="right" w:pos="1008"/>
          <w:tab w:val="left" w:pos="1152"/>
          <w:tab w:val="left" w:pos="1872"/>
          <w:tab w:val="left" w:pos="9187"/>
        </w:tabs>
        <w:ind w:left="2088" w:hanging="2088"/>
        <w:rPr>
          <w:rFonts w:cs="Times New Roman"/>
        </w:rPr>
      </w:pPr>
    </w:p>
    <w:p w:rsidR="00040AFF" w:rsidRPr="00040AFF" w:rsidRDefault="00040AFF" w:rsidP="00040AFF">
      <w:pPr>
        <w:widowControl w:val="0"/>
        <w:tabs>
          <w:tab w:val="right" w:pos="1008"/>
          <w:tab w:val="left" w:pos="1152"/>
          <w:tab w:val="left" w:pos="1872"/>
          <w:tab w:val="left" w:pos="9187"/>
        </w:tabs>
        <w:ind w:left="2088" w:hanging="2088"/>
        <w:rPr>
          <w:rFonts w:cs="Times New Roman"/>
        </w:rPr>
      </w:pPr>
      <w:bookmarkStart w:id="0" w:name="_GoBack"/>
      <w:bookmarkEnd w:id="0"/>
      <w:r w:rsidRPr="00040AFF">
        <w:rPr>
          <w:rFonts w:cs="Times New Roman"/>
        </w:rPr>
        <w:t xml:space="preserve">View the latest </w:t>
      </w:r>
      <w:hyperlink r:id="rId38" w:history="1">
        <w:r w:rsidRPr="00040AFF">
          <w:rPr>
            <w:rFonts w:cs="Times New Roman"/>
            <w:color w:val="0000FF" w:themeColor="hyperlink"/>
            <w:u w:val="single"/>
          </w:rPr>
          <w:t>legislative information</w:t>
        </w:r>
      </w:hyperlink>
      <w:r w:rsidRPr="00040AFF">
        <w:rPr>
          <w:rFonts w:cs="Times New Roman"/>
        </w:rPr>
        <w:t xml:space="preserve"> at the website</w:t>
      </w:r>
    </w:p>
    <w:p w:rsidR="00040AFF" w:rsidRPr="00040AFF" w:rsidRDefault="00040AFF" w:rsidP="00040AFF">
      <w:pPr>
        <w:widowControl w:val="0"/>
        <w:tabs>
          <w:tab w:val="right" w:pos="1008"/>
          <w:tab w:val="left" w:pos="1152"/>
          <w:tab w:val="left" w:pos="1872"/>
          <w:tab w:val="left" w:pos="9187"/>
        </w:tabs>
        <w:ind w:left="2088" w:hanging="2088"/>
        <w:rPr>
          <w:rFonts w:cs="Times New Roman"/>
        </w:rPr>
      </w:pPr>
    </w:p>
    <w:p w:rsidR="00040AFF" w:rsidRPr="00040AFF" w:rsidRDefault="00040AFF" w:rsidP="00040AFF">
      <w:pPr>
        <w:widowControl w:val="0"/>
        <w:tabs>
          <w:tab w:val="right" w:pos="1008"/>
          <w:tab w:val="left" w:pos="1152"/>
          <w:tab w:val="left" w:pos="1872"/>
          <w:tab w:val="left" w:pos="9187"/>
        </w:tabs>
        <w:ind w:left="2088" w:hanging="2088"/>
        <w:rPr>
          <w:rFonts w:cs="Times New Roman"/>
        </w:rPr>
      </w:pP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AFF">
        <w:rPr>
          <w:rFonts w:cs="Times New Roman"/>
          <w:b/>
        </w:rPr>
        <w:t>VERSIONS OF THIS BILL</w:t>
      </w:r>
    </w:p>
    <w:p w:rsidR="00040AFF" w:rsidRPr="00040AFF" w:rsidRDefault="00040AFF"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AFF" w:rsidRPr="00040AFF" w:rsidRDefault="002A7BAD" w:rsidP="000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040AFF" w:rsidRPr="00040AFF">
          <w:rPr>
            <w:rFonts w:cs="Times New Roman"/>
            <w:color w:val="0000FF" w:themeColor="hyperlink"/>
            <w:u w:val="single"/>
          </w:rPr>
          <w:t>2/4/2021</w:t>
        </w:r>
      </w:hyperlink>
    </w:p>
    <w:p w:rsidR="00040AFF" w:rsidRPr="00040AFF" w:rsidRDefault="002A7BAD"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040AFF" w:rsidRPr="00040AFF">
          <w:rPr>
            <w:rFonts w:cs="Times New Roman"/>
            <w:color w:val="0000FF" w:themeColor="hyperlink"/>
            <w:u w:val="single"/>
          </w:rPr>
          <w:t>2/18/2021</w:t>
        </w:r>
      </w:hyperlink>
    </w:p>
    <w:p w:rsidR="00040AFF" w:rsidRPr="00040AFF" w:rsidRDefault="002A7BAD"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040AFF" w:rsidRPr="00040AFF">
          <w:rPr>
            <w:rFonts w:cs="Times New Roman"/>
            <w:color w:val="0000FF" w:themeColor="hyperlink"/>
            <w:u w:val="single"/>
          </w:rPr>
          <w:t>2/19/2021</w:t>
        </w:r>
      </w:hyperlink>
    </w:p>
    <w:p w:rsidR="00040AFF" w:rsidRPr="00040AFF" w:rsidRDefault="002A7BAD"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040AFF" w:rsidRPr="00040AFF">
          <w:rPr>
            <w:rFonts w:cs="Times New Roman"/>
            <w:color w:val="0000FF" w:themeColor="hyperlink"/>
            <w:u w:val="single"/>
          </w:rPr>
          <w:t>3/17/2021</w:t>
        </w:r>
      </w:hyperlink>
    </w:p>
    <w:p w:rsidR="00040AFF" w:rsidRPr="00040AFF" w:rsidRDefault="002A7BAD"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040AFF" w:rsidRPr="00040AFF">
          <w:rPr>
            <w:rFonts w:cs="Times New Roman"/>
            <w:color w:val="0000FF" w:themeColor="hyperlink"/>
            <w:u w:val="single"/>
          </w:rPr>
          <w:t>3/18/2021</w:t>
        </w:r>
      </w:hyperlink>
    </w:p>
    <w:p w:rsidR="00040AFF" w:rsidRPr="00040AFF" w:rsidRDefault="002A7BAD"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040AFF" w:rsidRPr="00040AFF">
          <w:rPr>
            <w:rFonts w:cs="Times New Roman"/>
            <w:color w:val="0000FF" w:themeColor="hyperlink"/>
            <w:u w:val="single"/>
          </w:rPr>
          <w:t>4/28/2021</w:t>
        </w:r>
      </w:hyperlink>
    </w:p>
    <w:p w:rsidR="00040AFF" w:rsidRPr="00040AFF" w:rsidRDefault="002A7BAD"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040AFF" w:rsidRPr="00040AFF">
          <w:rPr>
            <w:rFonts w:cs="Times New Roman"/>
            <w:color w:val="0000FF" w:themeColor="hyperlink"/>
            <w:u w:val="single"/>
          </w:rPr>
          <w:t>5/11/2021</w:t>
        </w:r>
      </w:hyperlink>
    </w:p>
    <w:p w:rsidR="00040AFF" w:rsidRPr="00040AFF" w:rsidRDefault="002A7BAD"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040AFF" w:rsidRPr="00040AFF">
          <w:rPr>
            <w:rFonts w:cs="Times New Roman"/>
            <w:color w:val="0000FF" w:themeColor="hyperlink"/>
            <w:u w:val="single"/>
          </w:rPr>
          <w:t>5/12/2021</w:t>
        </w:r>
      </w:hyperlink>
    </w:p>
    <w:p w:rsidR="00040AFF" w:rsidRPr="00040AFF" w:rsidRDefault="002A7BAD"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7" w:history="1">
        <w:r w:rsidR="00040AFF" w:rsidRPr="00040AFF">
          <w:rPr>
            <w:rFonts w:cs="Times New Roman"/>
            <w:color w:val="0000FF" w:themeColor="hyperlink"/>
            <w:u w:val="single"/>
          </w:rPr>
          <w:t>5/12/2021-A</w:t>
        </w:r>
      </w:hyperlink>
    </w:p>
    <w:p w:rsidR="00040AFF" w:rsidRPr="00040AFF" w:rsidRDefault="002A7BAD"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8" w:history="1">
        <w:r w:rsidR="00040AFF" w:rsidRPr="00040AFF">
          <w:rPr>
            <w:rFonts w:cs="Times New Roman"/>
            <w:color w:val="0000FF" w:themeColor="hyperlink"/>
            <w:u w:val="single"/>
          </w:rPr>
          <w:t>5/18/2021</w:t>
        </w:r>
      </w:hyperlink>
    </w:p>
    <w:p w:rsidR="00040AFF" w:rsidRPr="00040AFF" w:rsidRDefault="002A7BAD"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9" w:history="1">
        <w:r w:rsidR="00040AFF" w:rsidRPr="00040AFF">
          <w:rPr>
            <w:rFonts w:cs="Times New Roman"/>
            <w:color w:val="0000FF" w:themeColor="hyperlink"/>
            <w:u w:val="single"/>
          </w:rPr>
          <w:t>1/20/2022</w:t>
        </w:r>
      </w:hyperlink>
    </w:p>
    <w:p w:rsidR="00040AFF" w:rsidRPr="00040AFF" w:rsidRDefault="00040AFF"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AFF" w:rsidRDefault="00040AFF" w:rsidP="000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0AFF" w:rsidSect="00040AFF">
          <w:pgSz w:w="12240" w:h="15840" w:code="1"/>
          <w:pgMar w:top="1080" w:right="1440" w:bottom="1080" w:left="1440" w:header="720" w:footer="720" w:gutter="0"/>
          <w:pgNumType w:start="1"/>
          <w:cols w:space="720"/>
          <w:noEndnote/>
          <w:docGrid w:linePitch="360"/>
        </w:sect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(A119, R119, S525)</w:t>
      </w:r>
    </w:p>
    <w:p w:rsidR="00BB7097" w:rsidRPr="008836A5"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B7097" w:rsidRPr="00040AFF"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0AFF">
        <w:rPr>
          <w:rFonts w:cs="Times New Roman"/>
          <w:b/>
          <w:color w:val="000000" w:themeColor="text1"/>
          <w:szCs w:val="36"/>
        </w:rPr>
        <w:t xml:space="preserve">AN ACT </w:t>
      </w:r>
      <w:r w:rsidRPr="00040AFF">
        <w:rPr>
          <w:rFonts w:cs="Times New Roman"/>
          <w:b/>
          <w:color w:val="000000" w:themeColor="text1"/>
          <w:u w:color="000000" w:themeColor="text1"/>
        </w:rPr>
        <w:t>TO AMEND SECTIONS 44</w:t>
      </w:r>
      <w:r w:rsidRPr="00040AFF">
        <w:rPr>
          <w:rFonts w:cs="Times New Roman"/>
          <w:b/>
          <w:color w:val="000000" w:themeColor="text1"/>
          <w:u w:color="000000" w:themeColor="text1"/>
        </w:rPr>
        <w:noBreakHyphen/>
        <w:t>96</w:t>
      </w:r>
      <w:r w:rsidRPr="00040AFF">
        <w:rPr>
          <w:rFonts w:cs="Times New Roman"/>
          <w:b/>
          <w:color w:val="000000" w:themeColor="text1"/>
          <w:u w:color="000000" w:themeColor="text1"/>
        </w:rPr>
        <w:noBreakHyphen/>
        <w:t>40 AND 44</w:t>
      </w:r>
      <w:r w:rsidRPr="00040AFF">
        <w:rPr>
          <w:rFonts w:cs="Times New Roman"/>
          <w:b/>
          <w:color w:val="000000" w:themeColor="text1"/>
          <w:u w:color="000000" w:themeColor="text1"/>
        </w:rPr>
        <w:noBreakHyphen/>
        <w:t>96</w:t>
      </w:r>
      <w:r w:rsidRPr="00040AFF">
        <w:rPr>
          <w:rFonts w:cs="Times New Roman"/>
          <w:b/>
          <w:color w:val="000000" w:themeColor="text1"/>
          <w:u w:color="000000" w:themeColor="text1"/>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040AFF">
        <w:rPr>
          <w:rFonts w:cs="Times New Roman"/>
          <w:b/>
          <w:color w:val="000000" w:themeColor="text1"/>
          <w:u w:color="000000" w:themeColor="text1"/>
        </w:rPr>
        <w:noBreakHyphen/>
        <w:t>96</w:t>
      </w:r>
      <w:r w:rsidRPr="00040AFF">
        <w:rPr>
          <w:rFonts w:cs="Times New Roman"/>
          <w:b/>
          <w:color w:val="000000" w:themeColor="text1"/>
          <w:u w:color="000000" w:themeColor="text1"/>
        </w:rPr>
        <w:noBreakHyphen/>
        <w:t>290, RELATING TO SOLID WASTE MANAGEMENT PERMITTING, SO AS TO REQUIRE ADVANCED RECYCLING FACILITIES TO DEMONSTRATE FINANCIAL RESPONSIBILITY AS A CONDITION OF PERMITTING; TO AMEND SECTION 48</w:t>
      </w:r>
      <w:r w:rsidRPr="00040AFF">
        <w:rPr>
          <w:rFonts w:cs="Times New Roman"/>
          <w:b/>
          <w:color w:val="000000" w:themeColor="text1"/>
          <w:u w:color="000000" w:themeColor="text1"/>
        </w:rPr>
        <w:noBreakHyphen/>
        <w:t>1</w:t>
      </w:r>
      <w:r w:rsidRPr="00040AFF">
        <w:rPr>
          <w:rFonts w:cs="Times New Roman"/>
          <w:b/>
          <w:color w:val="000000" w:themeColor="text1"/>
          <w:u w:color="000000" w:themeColor="text1"/>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040AFF">
        <w:rPr>
          <w:rFonts w:cs="Times New Roman"/>
          <w:b/>
          <w:color w:val="000000" w:themeColor="text1"/>
          <w:u w:color="000000" w:themeColor="text1"/>
        </w:rPr>
        <w:noBreakHyphen/>
        <w:t>OF</w:t>
      </w:r>
      <w:r w:rsidRPr="00040AFF">
        <w:rPr>
          <w:rFonts w:cs="Times New Roman"/>
          <w:b/>
          <w:color w:val="000000" w:themeColor="text1"/>
          <w:u w:color="000000" w:themeColor="text1"/>
        </w:rPr>
        <w:noBreakHyphen/>
        <w:t>LIFE MANAGEMENT OF SOLAR PANELS AND THE DECOMMISSIONING OF CERTAIN SOLAR PROJECTS; TO PROVIDE SUNSET PROVISIONS FOR CERTAIN SECTIONS OF THE ACT; AND FOR OTHER PURPOSES.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0F0827">
        <w:rPr>
          <w:rFonts w:eastAsia="Times New Roman" w:cs="Times New Roman"/>
        </w:rPr>
        <w:tab/>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F0827">
        <w:rPr>
          <w:rFonts w:eastAsia="Times New Roman" w:cs="Times New Roman"/>
        </w:rPr>
        <w:t>Be it enacted by the General Assembly of the State of South Carolina:</w:t>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B7097" w:rsidRPr="00085E51"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Definitions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F0827">
        <w:rPr>
          <w:rFonts w:eastAsia="Times New Roman" w:cs="Times New Roman"/>
          <w:snapToGrid w:val="0"/>
          <w:szCs w:val="20"/>
        </w:rPr>
        <w:t>SECTION</w:t>
      </w:r>
      <w:r w:rsidRPr="000F0827">
        <w:rPr>
          <w:rFonts w:eastAsia="Times New Roman" w:cs="Times New Roman"/>
          <w:snapToGrid w:val="0"/>
          <w:szCs w:val="20"/>
        </w:rPr>
        <w:tab/>
        <w:t>1.</w:t>
      </w:r>
      <w:r w:rsidRPr="000F0827">
        <w:rPr>
          <w:rFonts w:eastAsia="Times New Roman" w:cs="Times New Roman"/>
          <w:snapToGrid w:val="0"/>
          <w:szCs w:val="20"/>
        </w:rPr>
        <w:tab/>
      </w:r>
      <w:r w:rsidRPr="000F0827">
        <w:rPr>
          <w:rFonts w:eastAsia="Calibri" w:cs="Times New Roman"/>
          <w:u w:color="000000"/>
        </w:rPr>
        <w:t>Section 44</w:t>
      </w:r>
      <w:r w:rsidRPr="000F0827">
        <w:rPr>
          <w:rFonts w:eastAsia="Calibri" w:cs="Times New Roman"/>
          <w:u w:color="000000"/>
        </w:rPr>
        <w:noBreakHyphen/>
        <w:t>96</w:t>
      </w:r>
      <w:r w:rsidRPr="000F0827">
        <w:rPr>
          <w:rFonts w:eastAsia="Calibri" w:cs="Times New Roman"/>
          <w:u w:color="000000"/>
        </w:rPr>
        <w:noBreakHyphen/>
        <w:t>40 of the 1976 Code is amended by adding appropriately numbered items at the end to read:</w:t>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u w:color="000000"/>
        </w:rPr>
        <w:tab/>
      </w:r>
      <w:r w:rsidRPr="000F0827">
        <w:rPr>
          <w:rFonts w:eastAsia="Calibri" w:cs="Times New Roman"/>
        </w:rPr>
        <w:t>“(</w:t>
      </w:r>
      <w:r w:rsidRPr="000F0827">
        <w:rPr>
          <w:rFonts w:eastAsia="Calibri" w:cs="Times New Roman"/>
        </w:rPr>
        <w:tab/>
        <w:t>)</w:t>
      </w:r>
      <w:r w:rsidRPr="000F0827">
        <w:rPr>
          <w:rFonts w:eastAsia="Calibri" w:cs="Times New Roman"/>
        </w:rPr>
        <w:tab/>
        <w:t>‘Advanced recycling’ means manufacturing processes that convert post</w:t>
      </w:r>
      <w:r w:rsidRPr="000F0827">
        <w:rPr>
          <w:rFonts w:eastAsia="Calibri" w:cs="Times New Roman"/>
        </w:rPr>
        <w:noBreakHyphen/>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lastRenderedPageBreak/>
        <w:tab/>
      </w:r>
      <w:r w:rsidRPr="000F0827">
        <w:rPr>
          <w:rFonts w:eastAsia="Calibri" w:cs="Times New Roman"/>
        </w:rPr>
        <w:tab/>
        <w:t>(a)</w:t>
      </w:r>
      <w:r w:rsidRPr="000F0827">
        <w:rPr>
          <w:rFonts w:eastAsia="Calibri" w:cs="Times New Roman"/>
        </w:rPr>
        <w:tab/>
        <w:t>‘Depolymerization’ means a manufacturing process at an advanced recycling facility where post</w:t>
      </w:r>
      <w:r w:rsidRPr="000F0827">
        <w:rPr>
          <w:rFonts w:eastAsia="Calibri" w:cs="Times New Roman"/>
        </w:rPr>
        <w:noBreakHyphen/>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u w:color="000000"/>
        </w:rPr>
        <w:tab/>
      </w:r>
      <w:r w:rsidRPr="000F0827">
        <w:rPr>
          <w:rFonts w:eastAsia="Calibri" w:cs="Times New Roman"/>
        </w:rPr>
        <w:tab/>
        <w:t>(b)</w:t>
      </w:r>
      <w:r w:rsidRPr="000F0827">
        <w:rPr>
          <w:rFonts w:eastAsia="Calibri" w:cs="Times New Roman"/>
        </w:rPr>
        <w:tab/>
        <w:t>‘Gasification’ means a manufacturing process at an advanced recycling facility through which recovered feedstocks are heated and converted into a fuel</w:t>
      </w:r>
      <w:r w:rsidRPr="000F0827">
        <w:rPr>
          <w:rFonts w:eastAsia="Calibri" w:cs="Times New Roman"/>
        </w:rPr>
        <w:noBreakHyphen/>
        <w:t>gas mixture in an oxygen</w:t>
      </w:r>
      <w:r w:rsidRPr="000F0827">
        <w:rPr>
          <w:rFonts w:eastAsia="Calibri" w:cs="Times New Roman"/>
        </w:rPr>
        <w:noBreakHyphen/>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r>
      <w:r w:rsidRPr="000F0827">
        <w:rPr>
          <w:rFonts w:eastAsia="Calibri" w:cs="Times New Roman"/>
        </w:rPr>
        <w:tab/>
        <w:t>(c)</w:t>
      </w:r>
      <w:r w:rsidRPr="000F0827">
        <w:rPr>
          <w:rFonts w:eastAsia="Calibri" w:cs="Times New Roman"/>
        </w:rPr>
        <w:tab/>
        <w:t>‘Pyrolysis’ means a manufacturing process at an advanced recycling facility through which post</w:t>
      </w:r>
      <w:r w:rsidRPr="000F0827">
        <w:rPr>
          <w:rFonts w:eastAsia="Calibri" w:cs="Times New Roman"/>
        </w:rPr>
        <w:noBreakHyphen/>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F0827">
        <w:rPr>
          <w:rFonts w:eastAsia="Calibri" w:cs="Times New Roman"/>
        </w:rPr>
        <w:tab/>
      </w:r>
      <w:r w:rsidRPr="000F0827">
        <w:rPr>
          <w:rFonts w:eastAsia="Calibri" w:cs="Times New Roman"/>
        </w:rPr>
        <w:tab/>
        <w:t>(d)</w:t>
      </w:r>
      <w:r w:rsidRPr="000F0827">
        <w:rPr>
          <w:rFonts w:eastAsia="Calibri" w:cs="Times New Roman"/>
        </w:rPr>
        <w:tab/>
        <w:t>‘Solvolysis’ means a manufacturing process at an advanced recycling facility through which post</w:t>
      </w:r>
      <w:r w:rsidRPr="000F0827">
        <w:rPr>
          <w:rFonts w:eastAsia="Calibri" w:cs="Times New Roman"/>
        </w:rPr>
        <w:noBreakHyphen/>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t>( )</w:t>
      </w:r>
      <w:r w:rsidRPr="000F0827">
        <w:rPr>
          <w:rFonts w:eastAsia="Calibri" w:cs="Times New Roman"/>
        </w:rPr>
        <w:tab/>
        <w:t>‘Advanced recycling facility’ means a manufacturing facility that receives, separates, stores, and converts the post</w:t>
      </w:r>
      <w:r w:rsidRPr="000F0827">
        <w:rPr>
          <w:rFonts w:eastAsia="Calibri" w:cs="Times New Roman"/>
        </w:rPr>
        <w:noBreakHyphen/>
        <w:t>use polymers and recovered feedstocks it receives using advanced recycling. An advanced recycling facility is not a solid waste processing facility, solid waste management facility, materials recovery facility, waste</w:t>
      </w:r>
      <w:r w:rsidRPr="000F0827">
        <w:rPr>
          <w:rFonts w:eastAsia="Calibri" w:cs="Times New Roman"/>
        </w:rPr>
        <w:noBreakHyphen/>
        <w:t>to</w:t>
      </w:r>
      <w:r w:rsidRPr="000F0827">
        <w:rPr>
          <w:rFonts w:eastAsia="Calibri" w:cs="Times New Roman"/>
        </w:rPr>
        <w:noBreakHyphen/>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Pr="000F0827">
        <w:rPr>
          <w:rFonts w:eastAsia="Calibri" w:cs="Times New Roman"/>
        </w:rPr>
        <w:noBreakHyphen/>
        <w:t>use polymers and recovered feedstock may not be mixed with solid waste or hazardous waste on</w:t>
      </w:r>
      <w:r w:rsidRPr="000F0827">
        <w:rPr>
          <w:rFonts w:eastAsia="Calibri" w:cs="Times New Roman"/>
        </w:rPr>
        <w:noBreakHyphen/>
        <w:t>site or during processing at an advanced recycling facility. At least seventy</w:t>
      </w:r>
      <w:r w:rsidRPr="000F0827">
        <w:rPr>
          <w:rFonts w:eastAsia="Calibri" w:cs="Times New Roman"/>
        </w:rPr>
        <w:noBreakHyphen/>
        <w:t>five percent of the weight or volume of recovered feedstocks or post</w:t>
      </w:r>
      <w:r w:rsidRPr="000F0827">
        <w:rPr>
          <w:rFonts w:eastAsia="Calibri" w:cs="Times New Roman"/>
        </w:rPr>
        <w:noBreakHyphen/>
        <w: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rsidRPr="000F0827">
        <w:rPr>
          <w:rFonts w:eastAsia="Calibri" w:cs="Times New Roman"/>
        </w:rPr>
        <w:noBreakHyphen/>
        <w:t>converted and post</w:t>
      </w:r>
      <w:r w:rsidRPr="000F0827">
        <w:rPr>
          <w:rFonts w:eastAsia="Calibri" w:cs="Times New Roman"/>
        </w:rPr>
        <w:noBreakHyphen/>
        <w:t>converted post</w:t>
      </w:r>
      <w:r w:rsidRPr="000F0827">
        <w:rPr>
          <w:rFonts w:eastAsia="Calibri" w:cs="Times New Roman"/>
        </w:rPr>
        <w:noBreakHyphen/>
        <w:t>use polymers or recovered feedstock must be sold or disposed of by the advanced recycling facility in compliance with applicable laws.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t>( )</w:t>
      </w:r>
      <w:r w:rsidRPr="000F0827">
        <w:rPr>
          <w:rFonts w:eastAsia="Calibri" w:cs="Times New Roman"/>
        </w:rPr>
        <w:tab/>
        <w:t>‘Post</w:t>
      </w:r>
      <w:r w:rsidRPr="000F0827">
        <w:rPr>
          <w:rFonts w:eastAsia="Calibri" w:cs="Times New Roman"/>
        </w:rPr>
        <w:noBreakHyphen/>
        <w:t>use polymer’ means a plastic polymer that is not solid waste when the following apply:</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r>
      <w:r w:rsidRPr="000F0827">
        <w:rPr>
          <w:rFonts w:eastAsia="Calibri" w:cs="Times New Roman"/>
        </w:rPr>
        <w:tab/>
        <w:t>(a)</w:t>
      </w:r>
      <w:r w:rsidRPr="000F0827">
        <w:rPr>
          <w:rFonts w:eastAsia="Calibri" w:cs="Times New Roman"/>
        </w:rPr>
        <w:tab/>
        <w:t>it is derived from any industrial, commercial, agricultural, or domestic activities;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r>
      <w:r w:rsidRPr="000F0827">
        <w:rPr>
          <w:rFonts w:eastAsia="Calibri" w:cs="Times New Roman"/>
        </w:rPr>
        <w:tab/>
        <w:t>(b)</w:t>
      </w:r>
      <w:r w:rsidRPr="000F0827">
        <w:rPr>
          <w:rFonts w:eastAsia="Calibri" w:cs="Times New Roman"/>
        </w:rPr>
        <w:tab/>
        <w:t>its use or intended use is to manufacture crude oil, fuels, feedstocks, blendstocks, raw materials, or other intermediate products or final products using advanced recycling;</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r>
      <w:r w:rsidRPr="000F0827">
        <w:rPr>
          <w:rFonts w:eastAsia="Calibri" w:cs="Times New Roman"/>
        </w:rPr>
        <w:tab/>
        <w:t>(c)</w:t>
      </w:r>
      <w:r w:rsidRPr="000F0827">
        <w:rPr>
          <w:rFonts w:eastAsia="Calibri" w:cs="Times New Roman"/>
        </w:rPr>
        <w:tab/>
        <w:t>it may contain incidental contaminants or impurities, such as paper labels or metal rings; and</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r>
      <w:r w:rsidRPr="000F0827">
        <w:rPr>
          <w:rFonts w:eastAsia="Calibri" w:cs="Times New Roman"/>
        </w:rPr>
        <w:tab/>
        <w:t>(d)</w:t>
      </w:r>
      <w:r w:rsidRPr="000F0827">
        <w:rPr>
          <w:rFonts w:eastAsia="Calibri" w:cs="Times New Roman"/>
        </w:rPr>
        <w:tab/>
        <w:t>it is processed at an advanced recycling facility or held at an advanced recycling facility prior to processing.</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t>(</w:t>
      </w:r>
      <w:r w:rsidRPr="000F0827">
        <w:rPr>
          <w:rFonts w:eastAsia="Calibri" w:cs="Times New Roman"/>
        </w:rPr>
        <w:tab/>
        <w:t>)(a)</w:t>
      </w:r>
      <w:r w:rsidRPr="000F0827">
        <w:rPr>
          <w:rFonts w:eastAsia="Calibri" w:cs="Times New Roman"/>
        </w:rPr>
        <w:tab/>
        <w:t>‘Recovered feedstock’ means one or more of the following materials that has been processed so that it may be used as feedstock in an advanced recycling facility:</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r>
      <w:r>
        <w:rPr>
          <w:rFonts w:eastAsia="Calibri" w:cs="Times New Roman"/>
        </w:rPr>
        <w:tab/>
      </w:r>
      <w:r>
        <w:rPr>
          <w:rFonts w:eastAsia="Calibri" w:cs="Times New Roman"/>
        </w:rPr>
        <w:tab/>
      </w:r>
      <w:r w:rsidRPr="000F0827">
        <w:rPr>
          <w:rFonts w:eastAsia="Calibri" w:cs="Times New Roman"/>
        </w:rPr>
        <w:t>(i)</w:t>
      </w:r>
      <w:r w:rsidRPr="000F0827">
        <w:rPr>
          <w:rFonts w:eastAsia="Calibri" w:cs="Times New Roman"/>
        </w:rPr>
        <w:tab/>
      </w:r>
      <w:r w:rsidRPr="000F0827">
        <w:rPr>
          <w:rFonts w:eastAsia="Calibri" w:cs="Times New Roman"/>
        </w:rPr>
        <w:tab/>
        <w:t>post</w:t>
      </w:r>
      <w:r w:rsidRPr="000F0827">
        <w:rPr>
          <w:rFonts w:eastAsia="Calibri" w:cs="Times New Roman"/>
        </w:rPr>
        <w:noBreakHyphen/>
        <w:t>use polymers;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r>
      <w:r w:rsidRPr="000F0827">
        <w:rPr>
          <w:rFonts w:eastAsia="Calibri" w:cs="Times New Roman"/>
        </w:rPr>
        <w:tab/>
      </w:r>
      <w:r w:rsidRPr="000F0827">
        <w:rPr>
          <w:rFonts w:eastAsia="Calibri" w:cs="Times New Roman"/>
        </w:rPr>
        <w:tab/>
        <w:t>(ii)</w:t>
      </w:r>
      <w:r w:rsidRPr="000F0827">
        <w:rPr>
          <w:rFonts w:eastAsia="Calibri" w:cs="Times New Roman"/>
        </w:rPr>
        <w:tab/>
        <w:t>materials for which the United States Environmental Protection Agency has made a nonwaste determination under 40 C.F.R. 241.3(c); or</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r>
      <w:r w:rsidRPr="000F0827">
        <w:rPr>
          <w:rFonts w:eastAsia="Calibri" w:cs="Times New Roman"/>
        </w:rPr>
        <w:tab/>
      </w:r>
      <w:r w:rsidRPr="000F0827">
        <w:rPr>
          <w:rFonts w:eastAsia="Calibri" w:cs="Times New Roman"/>
        </w:rPr>
        <w:tab/>
        <w:t>(iii)</w:t>
      </w:r>
      <w:r w:rsidRPr="000F0827">
        <w:rPr>
          <w:rFonts w:eastAsia="Calibri" w:cs="Times New Roman"/>
        </w:rPr>
        <w:tab/>
        <w:t>materials that the United States Environmental Protection Agency has otherwise determined are feedstocks and not solid waste</w:t>
      </w:r>
      <w:r>
        <w:rPr>
          <w:rFonts w:eastAsia="Calibri" w:cs="Times New Roman"/>
        </w:rPr>
        <w:t>.</w:t>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F0827">
        <w:rPr>
          <w:rFonts w:eastAsia="Calibri" w:cs="Times New Roman"/>
        </w:rPr>
        <w:tab/>
      </w:r>
      <w:r w:rsidRPr="000F0827">
        <w:rPr>
          <w:rFonts w:eastAsia="Calibri" w:cs="Times New Roman"/>
        </w:rPr>
        <w:tab/>
        <w:t>(b)</w:t>
      </w:r>
      <w:r w:rsidRPr="000F0827">
        <w:rPr>
          <w:rFonts w:eastAsia="Calibri" w:cs="Times New Roman"/>
        </w:rPr>
        <w:tab/>
        <w:t>Recovered feedstock does not include unprocessed municipal solid waste.”</w:t>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BB7097" w:rsidRPr="00085E51"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Definitions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F0827">
        <w:rPr>
          <w:rFonts w:eastAsia="Calibri" w:cs="Times New Roman"/>
        </w:rPr>
        <w:t>SECTION</w:t>
      </w:r>
      <w:r w:rsidRPr="000F0827">
        <w:rPr>
          <w:rFonts w:eastAsia="Calibri" w:cs="Times New Roman"/>
        </w:rPr>
        <w:tab/>
      </w:r>
      <w:r w:rsidRPr="000F0827">
        <w:rPr>
          <w:rFonts w:eastAsia="Times New Roman" w:cs="Times New Roman"/>
          <w:snapToGrid w:val="0"/>
          <w:szCs w:val="20"/>
        </w:rPr>
        <w:t>2.</w:t>
      </w:r>
      <w:r w:rsidRPr="000F0827">
        <w:rPr>
          <w:rFonts w:eastAsia="Times New Roman" w:cs="Times New Roman"/>
          <w:snapToGrid w:val="0"/>
          <w:szCs w:val="20"/>
        </w:rPr>
        <w:tab/>
        <w:t>Section 44</w:t>
      </w:r>
      <w:r w:rsidRPr="000F0827">
        <w:rPr>
          <w:rFonts w:eastAsia="Times New Roman" w:cs="Times New Roman"/>
          <w:snapToGrid w:val="0"/>
          <w:szCs w:val="20"/>
        </w:rPr>
        <w:noBreakHyphen/>
        <w:t>96</w:t>
      </w:r>
      <w:r w:rsidRPr="000F0827">
        <w:rPr>
          <w:rFonts w:eastAsia="Times New Roman" w:cs="Times New Roman"/>
          <w:snapToGrid w:val="0"/>
          <w:szCs w:val="20"/>
        </w:rPr>
        <w:noBreakHyphen/>
        <w:t>250(B)(13) of the 1976 Code is amended to read:</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F0827">
        <w:rPr>
          <w:rFonts w:eastAsia="Times New Roman" w:cs="Times New Roman"/>
          <w:snapToGrid w:val="0"/>
          <w:szCs w:val="20"/>
        </w:rPr>
        <w:tab/>
        <w:t>“(13)</w:t>
      </w:r>
      <w:r w:rsidRPr="000F0827">
        <w:rPr>
          <w:rFonts w:eastAsia="Times New Roman" w:cs="Times New Roman"/>
          <w:snapToGrid w:val="0"/>
          <w:szCs w:val="20"/>
        </w:rPr>
        <w:tab/>
        <w:t>‘Financial responsibility mechanism’ means a mechanism designed to demonstrate that sufficient funds will be available to meet specific environmental protection needs of solid waste management facilities and advanced recycling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b/>
          <w:snapToGrid w:val="0"/>
          <w:szCs w:val="20"/>
        </w:rPr>
        <w:t>Permitting of advanced recycling facilities, financial responsibility</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F0827">
        <w:rPr>
          <w:rFonts w:eastAsia="Times New Roman" w:cs="Times New Roman"/>
          <w:snapToGrid w:val="0"/>
          <w:szCs w:val="20"/>
        </w:rPr>
        <w:t>SECTION</w:t>
      </w:r>
      <w:r w:rsidRPr="000F0827">
        <w:rPr>
          <w:rFonts w:eastAsia="Times New Roman" w:cs="Times New Roman"/>
          <w:snapToGrid w:val="0"/>
          <w:szCs w:val="20"/>
        </w:rPr>
        <w:tab/>
        <w:t>3.</w:t>
      </w:r>
      <w:r w:rsidRPr="000F0827">
        <w:rPr>
          <w:rFonts w:eastAsia="Times New Roman" w:cs="Times New Roman"/>
          <w:snapToGrid w:val="0"/>
          <w:szCs w:val="20"/>
        </w:rPr>
        <w:tab/>
        <w:t>A.</w:t>
      </w:r>
      <w:r w:rsidRPr="000F0827">
        <w:rPr>
          <w:rFonts w:eastAsia="Times New Roman" w:cs="Times New Roman"/>
          <w:snapToGrid w:val="0"/>
          <w:szCs w:val="20"/>
        </w:rPr>
        <w:tab/>
        <w:t xml:space="preserve"> Section 44</w:t>
      </w:r>
      <w:r w:rsidRPr="000F0827">
        <w:rPr>
          <w:rFonts w:eastAsia="Times New Roman" w:cs="Times New Roman"/>
          <w:snapToGrid w:val="0"/>
          <w:szCs w:val="20"/>
        </w:rPr>
        <w:noBreakHyphen/>
        <w:t>96</w:t>
      </w:r>
      <w:r w:rsidRPr="000F0827">
        <w:rPr>
          <w:rFonts w:eastAsia="Times New Roman" w:cs="Times New Roman"/>
          <w:snapToGrid w:val="0"/>
          <w:szCs w:val="20"/>
        </w:rPr>
        <w:noBreakHyphen/>
        <w:t>290 of the 1976 Code is amended by adding an appropriately lettered subsection at the end to read:</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000000"/>
          <w:szCs w:val="24"/>
        </w:rPr>
      </w:pPr>
      <w:r w:rsidRPr="000F0827">
        <w:rPr>
          <w:rFonts w:eastAsia="Times New Roman" w:cs="Times New Roman"/>
          <w:snapToGrid w:val="0"/>
          <w:szCs w:val="20"/>
        </w:rPr>
        <w:tab/>
        <w:t>“(</w:t>
      </w:r>
      <w:r w:rsidRPr="000F0827">
        <w:rPr>
          <w:rFonts w:eastAsia="Times New Roman" w:cs="Times New Roman"/>
          <w:snapToGrid w:val="0"/>
          <w:szCs w:val="20"/>
        </w:rPr>
        <w:tab/>
        <w:t>)</w:t>
      </w:r>
      <w:r w:rsidRPr="000F0827">
        <w:rPr>
          <w:rFonts w:eastAsia="Times New Roman" w:cs="Times New Roman"/>
          <w:snapToGrid w:val="0"/>
          <w:szCs w:val="20"/>
        </w:rPr>
        <w:tab/>
      </w:r>
      <w:r w:rsidRPr="000F0827">
        <w:rPr>
          <w:rFonts w:eastAsia="Calibri" w:cs="Times New Roman"/>
          <w:bCs/>
          <w:color w:val="000000"/>
          <w:szCs w:val="24"/>
        </w:rPr>
        <w:t>An advanced recycling facility must demonstrate financial responsibility prior to being issued a permit for the advanced recycling facility or prior to the advanced recycling facility being placed in operation. To demonstrate financial responsibility, the advanced recycling facility must establish a cash trust fund under the control of the department or obtain a surety bond for which the department is the sole beneficiary, sufficient in form and amount to meet all reasonably foreseeable 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w:t>
      </w:r>
      <w:r w:rsidRPr="000F0827">
        <w:rPr>
          <w:rFonts w:eastAsia="Calibri" w:cs="Times New Roman"/>
          <w:bCs/>
          <w:color w:val="000000"/>
          <w:szCs w:val="24"/>
        </w:rPr>
        <w:noBreakHyphen/>
        <w:t>use polymer, plastic polymer, or incidental contaminants or impurities; provided, however, that no cash trust fund or surety bond shall be required if the advanced recycling facility establishes to the department that such costs are not reasonably foreseeable.”</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000000"/>
          <w:szCs w:val="24"/>
        </w:rPr>
      </w:pPr>
      <w:r w:rsidRPr="000F0827">
        <w:rPr>
          <w:rFonts w:eastAsia="Calibri" w:cs="Times New Roman"/>
          <w:color w:val="000000"/>
          <w:szCs w:val="24"/>
        </w:rPr>
        <w:t>B.</w:t>
      </w:r>
      <w:r w:rsidRPr="000F0827">
        <w:rPr>
          <w:rFonts w:eastAsia="Calibri" w:cs="Times New Roman"/>
          <w:color w:val="000000"/>
          <w:szCs w:val="24"/>
        </w:rPr>
        <w:tab/>
        <w:t xml:space="preserve"> The Department of Health and Environmental Control shall, on or before the second anniversary of the effective date of this act, issue a report to the General Assembly. The report must include the department’s analysis of the advanced recycling facility industry and its recommendation as to whether, given the industry’s record in this State or elsewhere in regard to matters including, without limitation, its </w:t>
      </w:r>
      <w:r w:rsidRPr="000F0827">
        <w:rPr>
          <w:rFonts w:eastAsia="Calibri" w:cs="Times New Roman"/>
          <w:bCs/>
          <w:color w:val="000000"/>
          <w:szCs w:val="24"/>
        </w:rPr>
        <w:t>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a cash trust fund or surety bond should be required of the advanced recycling facility, and if so, in what amount.</w:t>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000000"/>
          <w:szCs w:val="24"/>
        </w:rPr>
      </w:pP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000000"/>
          <w:szCs w:val="24"/>
        </w:rPr>
      </w:pPr>
      <w:r>
        <w:rPr>
          <w:rFonts w:cs="Times New Roman"/>
          <w:b/>
          <w:bCs/>
          <w:color w:val="000000" w:themeColor="text1"/>
          <w:szCs w:val="24"/>
        </w:rPr>
        <w:t>Regulatory authority, Department of Health and Environmental Control</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000000"/>
          <w:szCs w:val="24"/>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F0827">
        <w:rPr>
          <w:rFonts w:eastAsia="Calibri" w:cs="Times New Roman"/>
          <w:bCs/>
          <w:color w:val="000000"/>
          <w:szCs w:val="24"/>
        </w:rPr>
        <w:t>SECTION</w:t>
      </w:r>
      <w:r w:rsidRPr="000F0827">
        <w:rPr>
          <w:rFonts w:eastAsia="Calibri" w:cs="Times New Roman"/>
          <w:bCs/>
          <w:color w:val="000000"/>
          <w:szCs w:val="24"/>
        </w:rPr>
        <w:tab/>
      </w:r>
      <w:r w:rsidRPr="000F0827">
        <w:rPr>
          <w:rFonts w:eastAsia="Times New Roman" w:cs="Times New Roman"/>
          <w:snapToGrid w:val="0"/>
          <w:szCs w:val="20"/>
        </w:rPr>
        <w:t>4.</w:t>
      </w:r>
      <w:r w:rsidRPr="000F0827">
        <w:rPr>
          <w:rFonts w:eastAsia="Times New Roman" w:cs="Times New Roman"/>
          <w:snapToGrid w:val="0"/>
          <w:szCs w:val="20"/>
        </w:rPr>
        <w:tab/>
        <w:t>Section 48</w:t>
      </w:r>
      <w:r w:rsidRPr="000F0827">
        <w:rPr>
          <w:rFonts w:eastAsia="Times New Roman" w:cs="Times New Roman"/>
          <w:snapToGrid w:val="0"/>
          <w:szCs w:val="20"/>
        </w:rPr>
        <w:noBreakHyphen/>
        <w:t>1</w:t>
      </w:r>
      <w:r w:rsidRPr="000F0827">
        <w:rPr>
          <w:rFonts w:eastAsia="Times New Roman" w:cs="Times New Roman"/>
          <w:snapToGrid w:val="0"/>
          <w:szCs w:val="20"/>
        </w:rPr>
        <w:noBreakHyphen/>
        <w:t>50 of the 1976 Code is amended by adding an appropriately numbered item at the end to read:</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F0827">
        <w:rPr>
          <w:rFonts w:eastAsia="Times New Roman" w:cs="Times New Roman"/>
          <w:snapToGrid w:val="0"/>
          <w:szCs w:val="20"/>
        </w:rPr>
        <w:tab/>
      </w:r>
      <w:r w:rsidRPr="000F0827">
        <w:rPr>
          <w:rFonts w:eastAsia="Calibri" w:cs="Times New Roman"/>
          <w:u w:color="000000"/>
        </w:rPr>
        <w:t>“(</w:t>
      </w:r>
      <w:r w:rsidRPr="000F0827">
        <w:rPr>
          <w:rFonts w:eastAsia="Calibri" w:cs="Times New Roman"/>
          <w:u w:color="000000"/>
        </w:rPr>
        <w:tab/>
        <w:t>)</w:t>
      </w:r>
      <w:r w:rsidRPr="000F0827">
        <w:rPr>
          <w:rFonts w:eastAsia="Calibri" w:cs="Times New Roman"/>
          <w:u w:color="000000"/>
        </w:rPr>
        <w:tab/>
        <w:t>Review and consider the environmental compliance history of an applicant or person that is or operates an advanced recycling facility, as defined by Section 44</w:t>
      </w:r>
      <w:r w:rsidRPr="000F0827">
        <w:rPr>
          <w:rFonts w:eastAsia="Calibri" w:cs="Times New Roman"/>
          <w:u w:color="000000"/>
        </w:rPr>
        <w:noBreakHyphen/>
        <w:t>96</w:t>
      </w:r>
      <w:r w:rsidRPr="000F0827">
        <w:rPr>
          <w:rFonts w:eastAsia="Calibri" w:cs="Times New Roman"/>
          <w:u w:color="000000"/>
        </w:rPr>
        <w:noBreakHyphen/>
        <w:t>40, in making a determination to issue, reissue, deny, revoke, modify, or suspend a permit or interim status; prohibit the transfer of a permit or the transfer or achievement of interim status; or prohibit a change in the ownership of or a controlling interest in an existing advanced recycling facility.”</w:t>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cs="Times New Roman"/>
          <w:b/>
        </w:rPr>
        <w:t>Solar energy technology waste management, regulations and reporting</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0F0827">
        <w:rPr>
          <w:rFonts w:eastAsia="Calibri" w:cs="Times New Roman"/>
        </w:rPr>
        <w:t>SECTION</w:t>
      </w:r>
      <w:r w:rsidRPr="000F0827">
        <w:rPr>
          <w:rFonts w:eastAsia="Calibri" w:cs="Times New Roman"/>
        </w:rPr>
        <w:tab/>
      </w:r>
      <w:r w:rsidRPr="000F0827">
        <w:rPr>
          <w:rFonts w:eastAsia="Times New Roman" w:cs="Times New Roman"/>
          <w:snapToGrid w:val="0"/>
          <w:szCs w:val="20"/>
        </w:rPr>
        <w:t>5.</w:t>
      </w:r>
      <w:r w:rsidRPr="000F0827">
        <w:rPr>
          <w:rFonts w:eastAsia="Times New Roman" w:cs="Times New Roman"/>
          <w:snapToGrid w:val="0"/>
          <w:szCs w:val="20"/>
        </w:rPr>
        <w:tab/>
      </w:r>
      <w:r w:rsidRPr="000F0827">
        <w:rPr>
          <w:rFonts w:eastAsia="Calibri" w:cs="Times New Roman"/>
          <w:lang w:val="en-PH"/>
        </w:rPr>
        <w:t>Within one hundred twenty days after the effective date of this act, the Department of Health and Environmental Control shall submit regulations to guide all South Carolinians invested in, selling, installing, and using photovoltaic modules and energy storage system batteries in the management of end</w:t>
      </w:r>
      <w:r w:rsidRPr="000F0827">
        <w:rPr>
          <w:rFonts w:eastAsia="Calibri" w:cs="Times New Roman"/>
          <w:lang w:val="en-PH"/>
        </w:rPr>
        <w:noBreakHyphen/>
        <w:t>of</w:t>
      </w:r>
      <w:r w:rsidRPr="000F0827">
        <w:rPr>
          <w:rFonts w:eastAsia="Calibri" w:cs="Times New Roman"/>
          <w:lang w:val="en-PH"/>
        </w:rPr>
        <w:noBreakHyphen/>
        <w:t>life photovoltaic modules and energy storage system batteries on solar projects and the decommissioning of solar projects in excess of thirteen acres.  Management of end</w:t>
      </w:r>
      <w:r w:rsidRPr="000F0827">
        <w:rPr>
          <w:rFonts w:eastAsia="Calibri" w:cs="Times New Roman"/>
          <w:lang w:val="en-PH"/>
        </w:rPr>
        <w:noBreakHyphen/>
        <w:t>of</w:t>
      </w:r>
      <w:r w:rsidRPr="000F0827">
        <w:rPr>
          <w:rFonts w:eastAsia="Calibri" w:cs="Times New Roman"/>
          <w:lang w:val="en-PH"/>
        </w:rPr>
        <w:noBreakHyphen/>
        <w:t xml:space="preserve">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0F0827">
        <w:rPr>
          <w:rFonts w:eastAsia="Calibri" w:cs="Times New Roman"/>
          <w:lang w:val="en-PH"/>
        </w:rPr>
        <w:tab/>
        <w:t>(1)</w:t>
      </w:r>
      <w:r w:rsidRPr="000F0827">
        <w:rPr>
          <w:rFonts w:eastAsia="Calibri" w:cs="Times New Roman"/>
          <w:lang w:val="en-PH"/>
        </w:rPr>
        <w:tab/>
        <w:t>Whether photovoltaic modules, energy storage system batteries, their materials, or other equipment used in utility</w:t>
      </w:r>
      <w:r w:rsidRPr="000F0827">
        <w:rPr>
          <w:rFonts w:eastAsia="Calibri" w:cs="Times New Roman"/>
          <w:lang w:val="en-PH"/>
        </w:rPr>
        <w:noBreakHyphen/>
        <w:t>scale solar projects exhibit any of the characteristics of hazardous waste, as identified in 40 C.F.R. Part 261, or under rules adopted pursuant to the S.C. Hazardous Waste Management Act, Section 44</w:t>
      </w:r>
      <w:r w:rsidRPr="000F0827">
        <w:rPr>
          <w:rFonts w:eastAsia="Calibri" w:cs="Times New Roman"/>
          <w:lang w:val="en-PH"/>
        </w:rPr>
        <w:noBreakHyphen/>
        <w:t>56</w:t>
      </w:r>
      <w:r w:rsidRPr="000F0827">
        <w:rPr>
          <w:rFonts w:eastAsia="Calibri" w:cs="Times New Roman"/>
          <w:lang w:val="en-PH"/>
        </w:rPr>
        <w:noBreakHyphen/>
        <w:t>10 of the 1976 Code, or if any such equipment is properly characterized as solid waste under state and federal law.</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0F0827">
        <w:rPr>
          <w:rFonts w:eastAsia="Calibri" w:cs="Times New Roman"/>
          <w:lang w:val="en-PH"/>
        </w:rPr>
        <w:tab/>
        <w:t>(2)</w:t>
      </w:r>
      <w:r w:rsidRPr="000F0827">
        <w:rPr>
          <w:rFonts w:eastAsia="Calibri" w:cs="Times New Roman"/>
          <w:lang w:val="en-PH"/>
        </w:rPr>
        <w:tab/>
        <w:t>Preferred methods to responsibly manage end</w:t>
      </w:r>
      <w:r w:rsidRPr="000F0827">
        <w:rPr>
          <w:rFonts w:eastAsia="Calibri" w:cs="Times New Roman"/>
          <w:lang w:val="en-PH"/>
        </w:rPr>
        <w:noBreakHyphen/>
        <w:t>of</w:t>
      </w:r>
      <w:r w:rsidRPr="000F0827">
        <w:rPr>
          <w:rFonts w:eastAsia="Calibri" w:cs="Times New Roman"/>
          <w:lang w:val="en-PH"/>
        </w:rPr>
        <w:noBreakHyphen/>
        <w:t>life photovoltaic modules, energy storage system batteries, or the constituent materials thereof, or other equipment used in utility</w:t>
      </w:r>
      <w:r w:rsidRPr="000F0827">
        <w:rPr>
          <w:rFonts w:eastAsia="Calibri" w:cs="Times New Roman"/>
          <w:lang w:val="en-PH"/>
        </w:rPr>
        <w:noBreakHyphen/>
        <w:t xml:space="preserve">scale solar projects, including the extent to which such equipment may be: </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0F0827">
        <w:rPr>
          <w:rFonts w:eastAsia="Calibri" w:cs="Times New Roman"/>
          <w:lang w:val="en-PH"/>
        </w:rPr>
        <w:tab/>
      </w:r>
      <w:r w:rsidRPr="000F0827">
        <w:rPr>
          <w:rFonts w:eastAsia="Calibri" w:cs="Times New Roman"/>
          <w:lang w:val="en-PH"/>
        </w:rPr>
        <w:tab/>
        <w:t>(a)</w:t>
      </w:r>
      <w:r w:rsidRPr="000F0827">
        <w:rPr>
          <w:rFonts w:eastAsia="Calibri" w:cs="Times New Roman"/>
          <w:lang w:val="en-PH"/>
        </w:rPr>
        <w:tab/>
        <w:t>reused, if not damaged or in need of repair, for a similar purpose;</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0F0827">
        <w:rPr>
          <w:rFonts w:eastAsia="Calibri" w:cs="Times New Roman"/>
          <w:lang w:val="en-PH"/>
        </w:rPr>
        <w:tab/>
      </w:r>
      <w:r w:rsidRPr="000F0827">
        <w:rPr>
          <w:rFonts w:eastAsia="Calibri" w:cs="Times New Roman"/>
          <w:lang w:val="en-PH"/>
        </w:rPr>
        <w:tab/>
        <w:t>(b)</w:t>
      </w:r>
      <w:r w:rsidRPr="000F0827">
        <w:rPr>
          <w:rFonts w:eastAsia="Calibri" w:cs="Times New Roman"/>
          <w:lang w:val="en-PH"/>
        </w:rPr>
        <w:tab/>
        <w:t>refurbished, if not substantially damaged, and reused for a similar purpose;</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0F0827">
        <w:rPr>
          <w:rFonts w:eastAsia="Calibri" w:cs="Times New Roman"/>
          <w:lang w:val="en-PH"/>
        </w:rPr>
        <w:tab/>
      </w:r>
      <w:r w:rsidRPr="000F0827">
        <w:rPr>
          <w:rFonts w:eastAsia="Calibri" w:cs="Times New Roman"/>
          <w:lang w:val="en-PH"/>
        </w:rPr>
        <w:tab/>
        <w:t>(c)</w:t>
      </w:r>
      <w:r w:rsidRPr="000F0827">
        <w:rPr>
          <w:rFonts w:eastAsia="Calibri" w:cs="Times New Roman"/>
          <w:lang w:val="en-PH"/>
        </w:rPr>
        <w:tab/>
        <w:t>recycled with recovery of materials for similar or other purposes;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0F0827">
        <w:rPr>
          <w:rFonts w:eastAsia="Calibri" w:cs="Times New Roman"/>
          <w:lang w:val="en-PH"/>
        </w:rPr>
        <w:tab/>
      </w:r>
      <w:r w:rsidRPr="000F0827">
        <w:rPr>
          <w:rFonts w:eastAsia="Calibri" w:cs="Times New Roman"/>
          <w:lang w:val="en-PH"/>
        </w:rPr>
        <w:tab/>
        <w:t>(d)</w:t>
      </w:r>
      <w:r w:rsidRPr="000F0827">
        <w:rPr>
          <w:rFonts w:eastAsia="Calibri" w:cs="Times New Roman"/>
          <w:lang w:val="en-PH"/>
        </w:rPr>
        <w:tab/>
        <w:t>safely disposed of in construction and demolition or municipal solid waste landfills for material that does not exhibit any of the characteristics of hazardous waste under state or federal law; or</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0F0827">
        <w:rPr>
          <w:rFonts w:eastAsia="Calibri" w:cs="Times New Roman"/>
          <w:lang w:val="en-PH"/>
        </w:rPr>
        <w:tab/>
      </w:r>
      <w:r w:rsidRPr="000F0827">
        <w:rPr>
          <w:rFonts w:eastAsia="Calibri" w:cs="Times New Roman"/>
          <w:lang w:val="en-PH"/>
        </w:rPr>
        <w:tab/>
        <w:t>(e)</w:t>
      </w:r>
      <w:r w:rsidRPr="000F0827">
        <w:rPr>
          <w:rFonts w:eastAsia="Calibri" w:cs="Times New Roman"/>
          <w:lang w:val="en-PH"/>
        </w:rPr>
        <w:tab/>
        <w:t xml:space="preserve">safely disposed of in accordance with state and federal requirements governing hazardous waste for materials that exhibit any of the characteristics of hazardous waste under state or federal law. </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0F0827">
        <w:rPr>
          <w:rFonts w:eastAsia="Calibri" w:cs="Times New Roman"/>
          <w:lang w:val="en-PH"/>
        </w:rPr>
        <w:tab/>
        <w:t>(3)</w:t>
      </w:r>
      <w:r w:rsidRPr="000F0827">
        <w:rPr>
          <w:rFonts w:eastAsia="Calibri" w:cs="Times New Roman"/>
          <w:lang w:val="en-PH"/>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w:t>
      </w:r>
      <w:r w:rsidRPr="000F0827">
        <w:rPr>
          <w:rFonts w:eastAsia="Calibri" w:cs="Times New Roman"/>
          <w:lang w:val="en-PH"/>
        </w:rPr>
        <w:noBreakHyphen/>
        <w:t>of</w:t>
      </w:r>
      <w:r w:rsidRPr="000F0827">
        <w:rPr>
          <w:rFonts w:eastAsia="Calibri" w:cs="Times New Roman"/>
          <w:lang w:val="en-PH"/>
        </w:rPr>
        <w:noBreakHyphen/>
        <w:t>life.</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F0827">
        <w:rPr>
          <w:rFonts w:eastAsia="Times New Roman" w:cs="Times New Roman"/>
        </w:rPr>
        <w:tab/>
        <w:t>(4)</w:t>
      </w:r>
      <w:r w:rsidRPr="000F0827">
        <w:rPr>
          <w:rFonts w:eastAsia="Times New Roman" w:cs="Times New Roman"/>
        </w:rPr>
        <w:tab/>
        <w:t>Whether or not adequate financial assurance requirements are necessary to ensure proper decommissioning of solar projects in excess of thirteen acres upon cessation of operations.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F0827">
        <w:rPr>
          <w:rFonts w:eastAsia="Times New Roman" w:cs="Times New Roman"/>
        </w:rPr>
        <w:tab/>
        <w:t>(5)</w:t>
      </w:r>
      <w:r w:rsidRPr="000F0827">
        <w:rPr>
          <w:rFonts w:eastAsia="Times New Roman" w:cs="Times New Roman"/>
        </w:rPr>
        <w:tab/>
        <w:t>Infrastructure that may be needed to develop a practical, effective, and cost</w:t>
      </w:r>
      <w:r w:rsidRPr="000F0827">
        <w:rPr>
          <w:rFonts w:eastAsia="Times New Roman" w:cs="Times New Roman"/>
        </w:rPr>
        <w:noBreakHyphen/>
        <w:t>effective means to collect and transport end</w:t>
      </w:r>
      <w:r w:rsidRPr="000F0827">
        <w:rPr>
          <w:rFonts w:eastAsia="Times New Roman" w:cs="Times New Roman"/>
        </w:rPr>
        <w:noBreakHyphen/>
        <w:t>of</w:t>
      </w:r>
      <w:r w:rsidRPr="000F0827">
        <w:rPr>
          <w:rFonts w:eastAsia="Times New Roman" w:cs="Times New Roman"/>
        </w:rPr>
        <w:noBreakHyphen/>
        <w:t>life photovoltaic modules, energy storage system batteries, and other equipment used in utility</w:t>
      </w:r>
      <w:r w:rsidRPr="000F0827">
        <w:rPr>
          <w:rFonts w:eastAsia="Times New Roman" w:cs="Times New Roman"/>
        </w:rPr>
        <w:noBreakHyphen/>
        <w:t>scale solar projects for reuse, refurbishment, recycling, or disposal.</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F0827">
        <w:rPr>
          <w:rFonts w:eastAsia="Times New Roman" w:cs="Times New Roman"/>
        </w:rPr>
        <w:tab/>
        <w:t>(6)</w:t>
      </w:r>
      <w:r w:rsidRPr="000F0827">
        <w:rPr>
          <w:rFonts w:eastAsia="Times New Roman" w:cs="Times New Roman"/>
        </w:rPr>
        <w:tab/>
        <w:t>Whether or not manufacturer or installer stewardship programs for the recycling of end</w:t>
      </w:r>
      <w:r w:rsidRPr="000F0827">
        <w:rPr>
          <w:rFonts w:eastAsia="Times New Roman" w:cs="Times New Roman"/>
        </w:rPr>
        <w:noBreakHyphen/>
        <w:t>of</w:t>
      </w:r>
      <w:r w:rsidRPr="000F0827">
        <w:rPr>
          <w:rFonts w:eastAsia="Times New Roman" w:cs="Times New Roman"/>
        </w:rPr>
        <w:noBreakHyphen/>
        <w:t>life photovoltaic modules and energy storage system batteries should be established for applications other than utility</w:t>
      </w:r>
      <w:r w:rsidRPr="000F0827">
        <w:rPr>
          <w:rFonts w:eastAsia="Times New Roman" w:cs="Times New Roman"/>
        </w:rPr>
        <w:noBreakHyphen/>
        <w:t xml:space="preserve">scale solar project installations, and if so, fees that should be established for these manufacturers and installers to support the implementation of such requirements.  </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F0827">
        <w:rPr>
          <w:rFonts w:eastAsia="Times New Roman" w:cs="Times New Roman"/>
        </w:rPr>
        <w:tab/>
        <w:t>The department must require, as part of a new application or an application pending on July 1, 2022, local approval of a site plan for a solar farm in excess of thirteen acres, that an owner, lessee, or developer of real property upon which the site is situated must submit to the department a nonbinding plan to manage and dispose of end</w:t>
      </w:r>
      <w:r w:rsidRPr="000F0827">
        <w:rPr>
          <w:rFonts w:eastAsia="Times New Roman" w:cs="Times New Roman"/>
        </w:rPr>
        <w:noBreakHyphen/>
        <w:t>of</w:t>
      </w:r>
      <w:r w:rsidRPr="000F0827">
        <w:rPr>
          <w:rFonts w:eastAsia="Times New Roman" w:cs="Times New Roman"/>
        </w:rPr>
        <w:noBreakHyphen/>
        <w:t xml:space="preserve">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F0827">
        <w:rPr>
          <w:rFonts w:eastAsia="Times New Roman" w:cs="Times New Roman"/>
        </w:rPr>
        <w:tab/>
        <w:t xml:space="preserve">The department shall submit interim reports to the Chairman of the Senate Judiciary Committee and the Chairman of the House Labor, Commerce and Industry Committee on all activities pursuant to this provision on a quarterly basis beginning July 1, 2022, and shall submit a final report with findings, including stakeholder input, to the Chairman of the Senate Judiciary Committee and the Chairman of the House Labor, Commerce and Industry Committee no later than June 30, 2023.  </w:t>
      </w:r>
      <w:bookmarkStart w:id="2" w:name="Firstslash"/>
      <w:bookmarkEnd w:id="2"/>
      <w:r w:rsidRPr="000F0827">
        <w:rPr>
          <w:rFonts w:eastAsia="Times New Roman" w:cs="Times New Roman"/>
          <w:snapToGrid w:val="0"/>
          <w:szCs w:val="20"/>
        </w:rPr>
        <w:tab/>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E1685">
        <w:rPr>
          <w:rFonts w:eastAsia="Times New Roman" w:cs="Times New Roman"/>
          <w:b/>
          <w:snapToGrid w:val="0"/>
          <w:szCs w:val="20"/>
        </w:rPr>
        <w:t>Severability clause</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F0827">
        <w:rPr>
          <w:rFonts w:eastAsia="Times New Roman" w:cs="Times New Roman"/>
          <w:snapToGrid w:val="0"/>
          <w:szCs w:val="20"/>
        </w:rPr>
        <w:t>SECTION</w:t>
      </w:r>
      <w:r w:rsidRPr="000F0827">
        <w:rPr>
          <w:rFonts w:eastAsia="Times New Roman" w:cs="Times New Roman"/>
          <w:snapToGrid w:val="0"/>
          <w:szCs w:val="20"/>
        </w:rPr>
        <w:tab/>
        <w:t>6.</w:t>
      </w:r>
      <w:r w:rsidRPr="000F0827">
        <w:rPr>
          <w:rFonts w:eastAsia="Times New Roman" w:cs="Times New Roman"/>
          <w:snapToGrid w:val="0"/>
          <w:szCs w:val="2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F0827">
        <w:rPr>
          <w:rFonts w:eastAsia="Times New Roman" w:cs="Times New Roman"/>
          <w:snapToGrid w:val="0"/>
          <w:szCs w:val="20"/>
        </w:rPr>
        <w:tab/>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b/>
          <w:snapToGrid w:val="0"/>
          <w:szCs w:val="20"/>
        </w:rPr>
        <w:t>Sunset provisions</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rPr>
      </w:pPr>
      <w:r w:rsidRPr="000F0827">
        <w:rPr>
          <w:rFonts w:eastAsia="Times New Roman" w:cs="Times New Roman"/>
          <w:snapToGrid w:val="0"/>
          <w:szCs w:val="20"/>
        </w:rPr>
        <w:t>SECTION</w:t>
      </w:r>
      <w:r w:rsidRPr="000F0827">
        <w:rPr>
          <w:rFonts w:eastAsia="Times New Roman" w:cs="Times New Roman"/>
          <w:snapToGrid w:val="0"/>
          <w:szCs w:val="20"/>
        </w:rPr>
        <w:tab/>
        <w:t>7.</w:t>
      </w:r>
      <w:r w:rsidRPr="000F0827">
        <w:rPr>
          <w:rFonts w:eastAsia="Times New Roman" w:cs="Times New Roman"/>
          <w:snapToGrid w:val="0"/>
          <w:szCs w:val="20"/>
        </w:rPr>
        <w:tab/>
      </w:r>
      <w:r w:rsidRPr="000F0827">
        <w:rPr>
          <w:rFonts w:eastAsia="Calibri" w:cs="Times New Roman"/>
          <w:color w:val="000000"/>
          <w:szCs w:val="24"/>
        </w:rPr>
        <w:t>The provisions of SECTIONS 2 and 3 terminate on the fifth anniversary of the effective date of this act.</w:t>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rPr>
      </w:pPr>
      <w:r>
        <w:rPr>
          <w:rFonts w:cs="Times New Roman"/>
          <w:b/>
          <w:color w:val="000000" w:themeColor="text1"/>
          <w:szCs w:val="24"/>
        </w:rPr>
        <w:t>Time effective</w:t>
      </w:r>
    </w:p>
    <w:p w:rsidR="00BB7097" w:rsidRPr="000F082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F0827">
        <w:rPr>
          <w:rFonts w:eastAsia="Calibri" w:cs="Times New Roman"/>
          <w:color w:val="000000"/>
          <w:szCs w:val="24"/>
        </w:rPr>
        <w:t>SECTION</w:t>
      </w:r>
      <w:r w:rsidRPr="000F0827">
        <w:rPr>
          <w:rFonts w:eastAsia="Calibri" w:cs="Times New Roman"/>
          <w:color w:val="000000"/>
          <w:szCs w:val="24"/>
        </w:rPr>
        <w:tab/>
      </w:r>
      <w:r w:rsidRPr="000F0827">
        <w:rPr>
          <w:rFonts w:eastAsia="Times New Roman" w:cs="Times New Roman"/>
          <w:snapToGrid w:val="0"/>
          <w:szCs w:val="20"/>
        </w:rPr>
        <w:t>8.</w:t>
      </w:r>
      <w:r w:rsidRPr="000F0827">
        <w:rPr>
          <w:rFonts w:eastAsia="Times New Roman" w:cs="Times New Roman"/>
          <w:snapToGrid w:val="0"/>
          <w:szCs w:val="20"/>
        </w:rPr>
        <w:tab/>
        <w:t>This act takes effect upon approval by the Governor.</w:t>
      </w: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B7097" w:rsidRDefault="00BB7097"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2022.</w:t>
      </w:r>
    </w:p>
    <w:p w:rsidR="00BB7097" w:rsidRDefault="00BB7097" w:rsidP="00BB7097">
      <w:pPr>
        <w:jc w:val="both"/>
        <w:rPr>
          <w:color w:val="000000" w:themeColor="text1"/>
        </w:rPr>
      </w:pPr>
    </w:p>
    <w:p w:rsidR="00BB7097" w:rsidRDefault="00BB7097" w:rsidP="00BB7097">
      <w:pPr>
        <w:jc w:val="both"/>
        <w:rPr>
          <w:color w:val="000000" w:themeColor="text1"/>
        </w:rPr>
      </w:pPr>
      <w:r>
        <w:rPr>
          <w:color w:val="000000" w:themeColor="text1"/>
        </w:rPr>
        <w:t>Approved the 27</w:t>
      </w:r>
      <w:r w:rsidRPr="00640111">
        <w:rPr>
          <w:color w:val="000000" w:themeColor="text1"/>
          <w:vertAlign w:val="superscript"/>
        </w:rPr>
        <w:t>th</w:t>
      </w:r>
      <w:r>
        <w:rPr>
          <w:color w:val="000000" w:themeColor="text1"/>
        </w:rPr>
        <w:t xml:space="preserve"> day of January, 2022. </w:t>
      </w:r>
    </w:p>
    <w:p w:rsidR="00BB7097" w:rsidRDefault="00BB7097" w:rsidP="00BB7097">
      <w:pPr>
        <w:jc w:val="center"/>
        <w:rPr>
          <w:color w:val="000000" w:themeColor="text1"/>
        </w:rPr>
      </w:pPr>
    </w:p>
    <w:p w:rsidR="00BB7097" w:rsidRDefault="00BB7097" w:rsidP="00BB7097">
      <w:pPr>
        <w:jc w:val="center"/>
        <w:rPr>
          <w:color w:val="000000" w:themeColor="text1"/>
        </w:rPr>
      </w:pPr>
      <w:r>
        <w:rPr>
          <w:color w:val="000000" w:themeColor="text1"/>
        </w:rPr>
        <w:t>__________</w:t>
      </w:r>
    </w:p>
    <w:p w:rsidR="00040AFF" w:rsidRPr="00400C29" w:rsidRDefault="00040AFF" w:rsidP="00BB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40AFF" w:rsidRPr="00400C29" w:rsidSect="00040AFF">
      <w:footerReference w:type="default" r:id="rId50"/>
      <w:footerReference w:type="first" r:id="rId5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174" w:rsidRDefault="00D45174" w:rsidP="007D5FAC">
      <w:r>
        <w:separator/>
      </w:r>
    </w:p>
  </w:endnote>
  <w:endnote w:type="continuationSeparator" w:id="0">
    <w:p w:rsidR="00D45174" w:rsidRDefault="00D4517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FF" w:rsidRPr="00040AFF" w:rsidRDefault="00040AFF" w:rsidP="00040AF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E3C89">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FF" w:rsidRDefault="00040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174" w:rsidRDefault="00D45174" w:rsidP="007D5FAC">
      <w:r>
        <w:separator/>
      </w:r>
    </w:p>
  </w:footnote>
  <w:footnote w:type="continuationSeparator" w:id="0">
    <w:p w:rsidR="00D45174" w:rsidRDefault="00D4517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525"/>
    <w:docVar w:name="ActSecretary" w:val="Charlton"/>
    <w:docVar w:name="ActSIdno" w:val="(124)  525VR22"/>
    <w:docVar w:name="clipname" w:val="525VR22"/>
    <w:docVar w:name="dvBillNumber" w:val="525"/>
    <w:docVar w:name="dvBillNumberPrefix" w:val="S"/>
    <w:docVar w:name="dvOriginalBody" w:val="Senate"/>
    <w:docVar w:name="OrigSENATEBillNo" w:val="525"/>
    <w:docVar w:name="SENATEACTFULLPATH" w:val="L:\COUNCIL\ACTS\525VR22.DOCX"/>
    <w:docVar w:name="WhatActtype" w:val="AN ACT"/>
  </w:docVars>
  <w:rsids>
    <w:rsidRoot w:val="00D45174"/>
    <w:rsid w:val="00002DE0"/>
    <w:rsid w:val="00017F29"/>
    <w:rsid w:val="00020349"/>
    <w:rsid w:val="00021B0B"/>
    <w:rsid w:val="00030487"/>
    <w:rsid w:val="00040AFF"/>
    <w:rsid w:val="00040C05"/>
    <w:rsid w:val="0004579B"/>
    <w:rsid w:val="00051B4F"/>
    <w:rsid w:val="00055653"/>
    <w:rsid w:val="00057792"/>
    <w:rsid w:val="000673E4"/>
    <w:rsid w:val="0007088D"/>
    <w:rsid w:val="000731E9"/>
    <w:rsid w:val="00074565"/>
    <w:rsid w:val="00076A1A"/>
    <w:rsid w:val="00077DA3"/>
    <w:rsid w:val="00081008"/>
    <w:rsid w:val="00081300"/>
    <w:rsid w:val="0008580A"/>
    <w:rsid w:val="00085C37"/>
    <w:rsid w:val="00085E51"/>
    <w:rsid w:val="00086E11"/>
    <w:rsid w:val="00092EE6"/>
    <w:rsid w:val="00096A9B"/>
    <w:rsid w:val="00096BDA"/>
    <w:rsid w:val="000A0202"/>
    <w:rsid w:val="000A6151"/>
    <w:rsid w:val="000A6BCA"/>
    <w:rsid w:val="000B03AD"/>
    <w:rsid w:val="000B316D"/>
    <w:rsid w:val="000B36EE"/>
    <w:rsid w:val="000B3728"/>
    <w:rsid w:val="000B56CB"/>
    <w:rsid w:val="000D356E"/>
    <w:rsid w:val="000D60F9"/>
    <w:rsid w:val="000D6F51"/>
    <w:rsid w:val="000F0C3D"/>
    <w:rsid w:val="000F445E"/>
    <w:rsid w:val="000F4902"/>
    <w:rsid w:val="001030FE"/>
    <w:rsid w:val="001031AE"/>
    <w:rsid w:val="001031C9"/>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3C8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0C29"/>
    <w:rsid w:val="00412B47"/>
    <w:rsid w:val="004132C9"/>
    <w:rsid w:val="00414C2A"/>
    <w:rsid w:val="004157C4"/>
    <w:rsid w:val="0041760A"/>
    <w:rsid w:val="00417A9C"/>
    <w:rsid w:val="00423310"/>
    <w:rsid w:val="00427BCB"/>
    <w:rsid w:val="00430DA3"/>
    <w:rsid w:val="00432E09"/>
    <w:rsid w:val="00435D03"/>
    <w:rsid w:val="004374A9"/>
    <w:rsid w:val="00441FD5"/>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14A4"/>
    <w:rsid w:val="004E275E"/>
    <w:rsid w:val="004E6C25"/>
    <w:rsid w:val="004E747B"/>
    <w:rsid w:val="004E7E53"/>
    <w:rsid w:val="004F0258"/>
    <w:rsid w:val="004F0E6F"/>
    <w:rsid w:val="004F4494"/>
    <w:rsid w:val="004F4608"/>
    <w:rsid w:val="004F5867"/>
    <w:rsid w:val="004F6446"/>
    <w:rsid w:val="005065EC"/>
    <w:rsid w:val="005208D0"/>
    <w:rsid w:val="00522B8D"/>
    <w:rsid w:val="005262B0"/>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2EA5"/>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25F6"/>
    <w:rsid w:val="00764BFB"/>
    <w:rsid w:val="00765D0A"/>
    <w:rsid w:val="007664A2"/>
    <w:rsid w:val="007746C2"/>
    <w:rsid w:val="00775216"/>
    <w:rsid w:val="00775B87"/>
    <w:rsid w:val="0078340B"/>
    <w:rsid w:val="00784A23"/>
    <w:rsid w:val="007946C3"/>
    <w:rsid w:val="007A73EA"/>
    <w:rsid w:val="007B0E40"/>
    <w:rsid w:val="007B296A"/>
    <w:rsid w:val="007B2D27"/>
    <w:rsid w:val="007C1E5A"/>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0DB1"/>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2331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097"/>
    <w:rsid w:val="00BB7B1B"/>
    <w:rsid w:val="00BC5FF9"/>
    <w:rsid w:val="00BE36EB"/>
    <w:rsid w:val="00BE41F8"/>
    <w:rsid w:val="00BF1B60"/>
    <w:rsid w:val="00BF2034"/>
    <w:rsid w:val="00BF33CD"/>
    <w:rsid w:val="00BF352D"/>
    <w:rsid w:val="00BF6E92"/>
    <w:rsid w:val="00C0138E"/>
    <w:rsid w:val="00C0158B"/>
    <w:rsid w:val="00C02F5C"/>
    <w:rsid w:val="00C02F6F"/>
    <w:rsid w:val="00C031C5"/>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5174"/>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6EDB"/>
    <w:rsid w:val="00DA77C1"/>
    <w:rsid w:val="00DB01BE"/>
    <w:rsid w:val="00DB1297"/>
    <w:rsid w:val="00DC093F"/>
    <w:rsid w:val="00DC6CFE"/>
    <w:rsid w:val="00DC7BA4"/>
    <w:rsid w:val="00DD198F"/>
    <w:rsid w:val="00DD2595"/>
    <w:rsid w:val="00DD314B"/>
    <w:rsid w:val="00DD3B8D"/>
    <w:rsid w:val="00DD471B"/>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0D"/>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5D93"/>
    <w:rsid w:val="00F3642A"/>
    <w:rsid w:val="00F37BB9"/>
    <w:rsid w:val="00F432E0"/>
    <w:rsid w:val="00F44E35"/>
    <w:rsid w:val="00F509CF"/>
    <w:rsid w:val="00F51775"/>
    <w:rsid w:val="00F54582"/>
    <w:rsid w:val="00F61884"/>
    <w:rsid w:val="00F627EF"/>
    <w:rsid w:val="00F669CB"/>
    <w:rsid w:val="00F66E0E"/>
    <w:rsid w:val="00F721C4"/>
    <w:rsid w:val="00F7296A"/>
    <w:rsid w:val="00F86999"/>
    <w:rsid w:val="00F957A8"/>
    <w:rsid w:val="00FA1013"/>
    <w:rsid w:val="00FA7E14"/>
    <w:rsid w:val="00FB179E"/>
    <w:rsid w:val="00FB1A6A"/>
    <w:rsid w:val="00FB471B"/>
    <w:rsid w:val="00FC19A1"/>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72DC774-2900-449B-B025-ABF0C0CA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40A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0D60F9"/>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FB17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40AF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83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210317.docx" TargetMode="External"/><Relationship Id="rId18" Type="http://schemas.openxmlformats.org/officeDocument/2006/relationships/hyperlink" Target="file:///h:\hj\20210428.docx" TargetMode="External"/><Relationship Id="rId26" Type="http://schemas.openxmlformats.org/officeDocument/2006/relationships/hyperlink" Target="file:///h:\sj\20210512.docx" TargetMode="External"/><Relationship Id="rId39" Type="http://schemas.openxmlformats.org/officeDocument/2006/relationships/hyperlink" Target="file:///p:\pprever\2021-22\525_20210204.docx" TargetMode="External"/><Relationship Id="rId3" Type="http://schemas.openxmlformats.org/officeDocument/2006/relationships/webSettings" Target="webSettings.xml"/><Relationship Id="rId21" Type="http://schemas.openxmlformats.org/officeDocument/2006/relationships/hyperlink" Target="file:///h:\hj\20210511.docx" TargetMode="External"/><Relationship Id="rId34" Type="http://schemas.openxmlformats.org/officeDocument/2006/relationships/hyperlink" Target="file:///h:\sj\20220120.docx" TargetMode="External"/><Relationship Id="rId42" Type="http://schemas.openxmlformats.org/officeDocument/2006/relationships/hyperlink" Target="file:///p:\pprever\2021-22\525_20210317.docx" TargetMode="External"/><Relationship Id="rId47" Type="http://schemas.openxmlformats.org/officeDocument/2006/relationships/hyperlink" Target="file:///p:\pprever\2021-22\525_20210512A.docx" TargetMode="External"/><Relationship Id="rId50" Type="http://schemas.openxmlformats.org/officeDocument/2006/relationships/footer" Target="footer1.xml"/><Relationship Id="rId7" Type="http://schemas.openxmlformats.org/officeDocument/2006/relationships/hyperlink" Target="file:///h:\sj\20210204.docx" TargetMode="External"/><Relationship Id="rId12" Type="http://schemas.openxmlformats.org/officeDocument/2006/relationships/hyperlink" Target="file:///h:\sj\20210317.docx" TargetMode="External"/><Relationship Id="rId17" Type="http://schemas.openxmlformats.org/officeDocument/2006/relationships/hyperlink" Target="file:///h:\hj\20210318.docx" TargetMode="External"/><Relationship Id="rId25" Type="http://schemas.openxmlformats.org/officeDocument/2006/relationships/hyperlink" Target="file:///h:\sj\20210512.docx" TargetMode="External"/><Relationship Id="rId33" Type="http://schemas.openxmlformats.org/officeDocument/2006/relationships/hyperlink" Target="file:///h:\hj\20220120.docx" TargetMode="External"/><Relationship Id="rId38" Type="http://schemas.openxmlformats.org/officeDocument/2006/relationships/hyperlink" Target="http://www.scstatehouse.gov/billsearch.php?billnumbers=525&amp;session=124&amp;summary=B" TargetMode="External"/><Relationship Id="rId46" Type="http://schemas.openxmlformats.org/officeDocument/2006/relationships/hyperlink" Target="file:///p:\pprever\2021-22\525_20210512.docx" TargetMode="External"/><Relationship Id="rId2" Type="http://schemas.openxmlformats.org/officeDocument/2006/relationships/settings" Target="settings.xml"/><Relationship Id="rId16" Type="http://schemas.openxmlformats.org/officeDocument/2006/relationships/hyperlink" Target="file:///h:\hj\20210318.docx" TargetMode="External"/><Relationship Id="rId20" Type="http://schemas.openxmlformats.org/officeDocument/2006/relationships/hyperlink" Target="file:///h:\hj\20210505.docx" TargetMode="External"/><Relationship Id="rId29" Type="http://schemas.openxmlformats.org/officeDocument/2006/relationships/hyperlink" Target="file:///h:\sj\20210512.docx" TargetMode="External"/><Relationship Id="rId41" Type="http://schemas.openxmlformats.org/officeDocument/2006/relationships/hyperlink" Target="file:///p:\pprever\2021-22\525_20210219.docx" TargetMode="External"/><Relationship Id="rId1" Type="http://schemas.openxmlformats.org/officeDocument/2006/relationships/styles" Target="styles.xml"/><Relationship Id="rId6" Type="http://schemas.openxmlformats.org/officeDocument/2006/relationships/hyperlink" Target="file:///h:\sj\20210204.docx" TargetMode="External"/><Relationship Id="rId11" Type="http://schemas.openxmlformats.org/officeDocument/2006/relationships/hyperlink" Target="file:///h:\sj\20210317.docx" TargetMode="External"/><Relationship Id="rId24" Type="http://schemas.openxmlformats.org/officeDocument/2006/relationships/hyperlink" Target="file:///h:\hj\20210512.docx" TargetMode="External"/><Relationship Id="rId32" Type="http://schemas.openxmlformats.org/officeDocument/2006/relationships/hyperlink" Target="file:///h:\hj\20220120.docx" TargetMode="External"/><Relationship Id="rId37" Type="http://schemas.openxmlformats.org/officeDocument/2006/relationships/hyperlink" Target="file:///h:\sj\20220126.docx" TargetMode="External"/><Relationship Id="rId40" Type="http://schemas.openxmlformats.org/officeDocument/2006/relationships/hyperlink" Target="file:///p:\pprever\2021-22\525_20210218.docx" TargetMode="External"/><Relationship Id="rId45" Type="http://schemas.openxmlformats.org/officeDocument/2006/relationships/hyperlink" Target="file:///p:\pprever\2021-22\525_20210511.docx"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sj\20210318.docx" TargetMode="External"/><Relationship Id="rId23" Type="http://schemas.openxmlformats.org/officeDocument/2006/relationships/hyperlink" Target="file:///h:\hj\20210511.docx" TargetMode="External"/><Relationship Id="rId28" Type="http://schemas.openxmlformats.org/officeDocument/2006/relationships/hyperlink" Target="file:///h:\sj\20210512.docx" TargetMode="External"/><Relationship Id="rId36" Type="http://schemas.openxmlformats.org/officeDocument/2006/relationships/hyperlink" Target="file:///h:\hj\20220125.docx" TargetMode="External"/><Relationship Id="rId49" Type="http://schemas.openxmlformats.org/officeDocument/2006/relationships/hyperlink" Target="file:///p:\pprever\2021-22\525_20220120.docx" TargetMode="External"/><Relationship Id="rId10" Type="http://schemas.openxmlformats.org/officeDocument/2006/relationships/hyperlink" Target="file:///h:\sj\20210317.docx" TargetMode="External"/><Relationship Id="rId19" Type="http://schemas.openxmlformats.org/officeDocument/2006/relationships/hyperlink" Target="file:///h:\hj\20210429.docx" TargetMode="External"/><Relationship Id="rId31" Type="http://schemas.openxmlformats.org/officeDocument/2006/relationships/hyperlink" Target="file:///h:\hj\20220111.docx" TargetMode="External"/><Relationship Id="rId44" Type="http://schemas.openxmlformats.org/officeDocument/2006/relationships/hyperlink" Target="file:///p:\pprever\2021-22\525_20210428.docx"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210316.docx" TargetMode="External"/><Relationship Id="rId14" Type="http://schemas.openxmlformats.org/officeDocument/2006/relationships/hyperlink" Target="file:///h:\sj\20210317.docx" TargetMode="External"/><Relationship Id="rId22" Type="http://schemas.openxmlformats.org/officeDocument/2006/relationships/hyperlink" Target="file:///h:\hj\20210511.docx" TargetMode="External"/><Relationship Id="rId27" Type="http://schemas.openxmlformats.org/officeDocument/2006/relationships/hyperlink" Target="file:///h:\sj\20210512.docx" TargetMode="External"/><Relationship Id="rId30" Type="http://schemas.openxmlformats.org/officeDocument/2006/relationships/hyperlink" Target="file:///h:\hj\20220111.docx" TargetMode="External"/><Relationship Id="rId35" Type="http://schemas.openxmlformats.org/officeDocument/2006/relationships/hyperlink" Target="file:///h:\sj\20220120.docx" TargetMode="External"/><Relationship Id="rId43" Type="http://schemas.openxmlformats.org/officeDocument/2006/relationships/hyperlink" Target="file:///p:\pprever\2021-22\525_20210318.docx" TargetMode="External"/><Relationship Id="rId48" Type="http://schemas.openxmlformats.org/officeDocument/2006/relationships/hyperlink" Target="file:///p:\pprever\2021-22\525_20210518.docx" TargetMode="External"/><Relationship Id="rId8" Type="http://schemas.openxmlformats.org/officeDocument/2006/relationships/hyperlink" Target="file:///h:\sj\20210218.docx" TargetMode="Externa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525: Solid Waste Policy and Management Act - South Carolina Legislature Online</dc:title>
  <dc:subject/>
  <dc:creator>Chris Charlton</dc:creator>
  <cp:keywords/>
  <dc:description/>
  <cp:lastModifiedBy>S Wilson</cp:lastModifiedBy>
  <cp:revision>2</cp:revision>
  <cp:lastPrinted>2009-02-19T22:23:00Z</cp:lastPrinted>
  <dcterms:created xsi:type="dcterms:W3CDTF">2022-02-10T15:09:00Z</dcterms:created>
  <dcterms:modified xsi:type="dcterms:W3CDTF">2022-02-10T15:09:00Z</dcterms:modified>
</cp:coreProperties>
</file>