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0598">
        <w:rPr>
          <w:rFonts w:eastAsia="Times New Roman" w:cs="Times New Roman"/>
          <w:b/>
          <w:szCs w:val="20"/>
        </w:rPr>
        <w:t>South Carolina General Assembly</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0598">
        <w:rPr>
          <w:rFonts w:eastAsia="Times New Roman" w:cs="Times New Roman"/>
          <w:szCs w:val="20"/>
        </w:rPr>
        <w:t>124th Session, 2021-2022</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598" w:rsidRPr="00830598" w:rsidRDefault="00825390"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A56, R70, S527</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598">
        <w:rPr>
          <w:rFonts w:eastAsia="Times New Roman" w:cs="Times New Roman"/>
          <w:b/>
          <w:szCs w:val="20"/>
        </w:rPr>
        <w:t>STATUS INFORMATION</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598">
        <w:rPr>
          <w:rFonts w:eastAsia="Times New Roman" w:cs="Times New Roman"/>
          <w:szCs w:val="20"/>
        </w:rPr>
        <w:t>General Bill</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598">
        <w:rPr>
          <w:rFonts w:eastAsia="Times New Roman" w:cs="Times New Roman"/>
          <w:szCs w:val="20"/>
        </w:rPr>
        <w:t>Sponsors: Senator Alexander</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598">
        <w:rPr>
          <w:rFonts w:eastAsia="Times New Roman" w:cs="Times New Roman"/>
          <w:szCs w:val="20"/>
        </w:rPr>
        <w:t>Document Path: l:\council\bills\nbd\11167dg21.docx</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0FD" w:rsidRDefault="004760FD"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2021</w:t>
      </w:r>
    </w:p>
    <w:p w:rsidR="004760FD" w:rsidRDefault="004760FD"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7, 2021</w:t>
      </w:r>
    </w:p>
    <w:p w:rsidR="004760FD" w:rsidRDefault="004760FD"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2021</w:t>
      </w:r>
    </w:p>
    <w:p w:rsidR="004760FD" w:rsidRDefault="004760FD"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4760FD" w:rsidRDefault="004760FD"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4760FD" w:rsidRDefault="004760FD"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598">
        <w:rPr>
          <w:rFonts w:eastAsia="Times New Roman" w:cs="Times New Roman"/>
          <w:szCs w:val="20"/>
        </w:rPr>
        <w:t>Summary: Legally separated</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598" w:rsidRPr="00830598" w:rsidRDefault="00830598" w:rsidP="00830598">
      <w:pPr>
        <w:widowControl w:val="0"/>
        <w:tabs>
          <w:tab w:val="center" w:pos="590"/>
          <w:tab w:val="center" w:pos="1440"/>
          <w:tab w:val="left" w:pos="1872"/>
          <w:tab w:val="left" w:pos="9187"/>
        </w:tabs>
        <w:rPr>
          <w:rFonts w:eastAsia="Times New Roman" w:cs="Times New Roman"/>
          <w:szCs w:val="20"/>
        </w:rPr>
      </w:pPr>
      <w:r w:rsidRPr="00830598">
        <w:rPr>
          <w:rFonts w:eastAsia="Times New Roman" w:cs="Times New Roman"/>
          <w:b/>
          <w:szCs w:val="20"/>
        </w:rPr>
        <w:t>HISTORY OF LEGISLATIVE ACTIONS</w:t>
      </w:r>
    </w:p>
    <w:p w:rsidR="00830598" w:rsidRPr="00830598" w:rsidRDefault="00830598" w:rsidP="00830598">
      <w:pPr>
        <w:widowControl w:val="0"/>
        <w:tabs>
          <w:tab w:val="center" w:pos="590"/>
          <w:tab w:val="center" w:pos="1440"/>
          <w:tab w:val="left" w:pos="1872"/>
          <w:tab w:val="left" w:pos="9187"/>
        </w:tabs>
        <w:rPr>
          <w:rFonts w:eastAsia="Times New Roman" w:cs="Times New Roman"/>
          <w:szCs w:val="20"/>
        </w:rPr>
      </w:pPr>
    </w:p>
    <w:p w:rsidR="00830598" w:rsidRPr="00830598" w:rsidRDefault="00830598" w:rsidP="00830598">
      <w:pPr>
        <w:widowControl w:val="0"/>
        <w:tabs>
          <w:tab w:val="center" w:pos="590"/>
          <w:tab w:val="center" w:pos="1440"/>
          <w:tab w:val="left" w:pos="1872"/>
          <w:tab w:val="left" w:pos="9187"/>
        </w:tabs>
        <w:rPr>
          <w:rFonts w:eastAsia="Times New Roman" w:cs="Times New Roman"/>
          <w:szCs w:val="20"/>
        </w:rPr>
      </w:pPr>
      <w:r w:rsidRPr="00830598">
        <w:rPr>
          <w:rFonts w:eastAsia="Times New Roman" w:cs="Times New Roman"/>
          <w:szCs w:val="20"/>
          <w:u w:val="single"/>
        </w:rPr>
        <w:tab/>
        <w:t>Date</w:t>
      </w:r>
      <w:r w:rsidRPr="00830598">
        <w:rPr>
          <w:rFonts w:eastAsia="Times New Roman" w:cs="Times New Roman"/>
          <w:szCs w:val="20"/>
          <w:u w:val="single"/>
        </w:rPr>
        <w:tab/>
        <w:t>Body</w:t>
      </w:r>
      <w:r w:rsidRPr="00830598">
        <w:rPr>
          <w:rFonts w:eastAsia="Times New Roman" w:cs="Times New Roman"/>
          <w:szCs w:val="20"/>
          <w:u w:val="single"/>
        </w:rPr>
        <w:tab/>
        <w:t>Action Description with journal page number</w:t>
      </w:r>
      <w:r w:rsidRPr="00830598">
        <w:rPr>
          <w:rFonts w:eastAsia="Times New Roman" w:cs="Times New Roman"/>
          <w:szCs w:val="20"/>
          <w:u w:val="single"/>
        </w:rPr>
        <w:tab/>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Introduced and read first time (</w:t>
      </w:r>
      <w:hyperlink r:id="rId6" w:history="1">
        <w:r w:rsidRPr="00834B85">
          <w:rPr>
            <w:rStyle w:val="Hyperlink"/>
            <w:rFonts w:cs="Times New Roman"/>
          </w:rPr>
          <w:t>Senate Journal</w:t>
        </w:r>
        <w:r w:rsidRPr="00834B85">
          <w:rPr>
            <w:rStyle w:val="Hyperlink"/>
            <w:rFonts w:cs="Times New Roman"/>
          </w:rPr>
          <w:noBreakHyphen/>
          <w:t>page 4</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 xml:space="preserve">Referred to Committee on </w:t>
      </w:r>
      <w:r w:rsidRPr="00834B85">
        <w:rPr>
          <w:rFonts w:cs="Times New Roman"/>
          <w:b/>
        </w:rPr>
        <w:t>Finance</w:t>
      </w:r>
      <w:r>
        <w:rPr>
          <w:rFonts w:cs="Times New Roman"/>
        </w:rPr>
        <w:t xml:space="preserve"> (</w:t>
      </w:r>
      <w:hyperlink r:id="rId7" w:history="1">
        <w:r w:rsidRPr="00834B85">
          <w:rPr>
            <w:rStyle w:val="Hyperlink"/>
            <w:rFonts w:cs="Times New Roman"/>
          </w:rPr>
          <w:t>Senate Journal</w:t>
        </w:r>
        <w:r w:rsidRPr="00834B85">
          <w:rPr>
            <w:rStyle w:val="Hyperlink"/>
            <w:rFonts w:cs="Times New Roman"/>
          </w:rPr>
          <w:noBreakHyphen/>
          <w:t>page 4</w:t>
        </w:r>
      </w:hyperlink>
      <w:bookmarkStart w:id="0" w:name="_GoBack"/>
      <w:bookmarkEnd w:id="0"/>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Committee report: Favorable </w:t>
      </w:r>
      <w:r w:rsidRPr="00834B85">
        <w:rPr>
          <w:rFonts w:cs="Times New Roman"/>
          <w:b/>
        </w:rPr>
        <w:t>Finance</w:t>
      </w:r>
      <w:r>
        <w:rPr>
          <w:rFonts w:cs="Times New Roman"/>
        </w:rPr>
        <w:t xml:space="preserve"> (</w:t>
      </w:r>
      <w:hyperlink r:id="rId8" w:history="1">
        <w:r w:rsidRPr="00834B85">
          <w:rPr>
            <w:rStyle w:val="Hyperlink"/>
            <w:rFonts w:cs="Times New Roman"/>
          </w:rPr>
          <w:t>Senate Journal</w:t>
        </w:r>
        <w:r w:rsidRPr="00834B85">
          <w:rPr>
            <w:rStyle w:val="Hyperlink"/>
            <w:rFonts w:cs="Times New Roman"/>
          </w:rPr>
          <w:noBreakHyphen/>
          <w:t>page 10</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9" w:history="1">
        <w:r w:rsidRPr="00834B85">
          <w:rPr>
            <w:rStyle w:val="Hyperlink"/>
            <w:rFonts w:cs="Times New Roman"/>
          </w:rPr>
          <w:t>Senate Journal</w:t>
        </w:r>
        <w:r w:rsidRPr="00834B85">
          <w:rPr>
            <w:rStyle w:val="Hyperlink"/>
            <w:rFonts w:cs="Times New Roman"/>
          </w:rPr>
          <w:noBreakHyphen/>
          <w:t>page 26</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38  Nays</w:t>
      </w:r>
      <w:r>
        <w:rPr>
          <w:rFonts w:cs="Times New Roman"/>
        </w:rPr>
        <w:noBreakHyphen/>
        <w:t>8 (</w:t>
      </w:r>
      <w:hyperlink r:id="rId10" w:history="1">
        <w:r w:rsidRPr="00834B85">
          <w:rPr>
            <w:rStyle w:val="Hyperlink"/>
            <w:rFonts w:cs="Times New Roman"/>
          </w:rPr>
          <w:t>Senate Journal</w:t>
        </w:r>
        <w:r w:rsidRPr="00834B85">
          <w:rPr>
            <w:rStyle w:val="Hyperlink"/>
            <w:rFonts w:cs="Times New Roman"/>
          </w:rPr>
          <w:noBreakHyphen/>
          <w:t>page 26</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r>
      <w:r>
        <w:rPr>
          <w:rFonts w:cs="Times New Roman"/>
        </w:rPr>
        <w:tab/>
        <w:t>Scrivener's error corrected</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Amended (</w:t>
      </w:r>
      <w:hyperlink r:id="rId11" w:history="1">
        <w:r w:rsidRPr="00834B85">
          <w:rPr>
            <w:rStyle w:val="Hyperlink"/>
            <w:rFonts w:cs="Times New Roman"/>
          </w:rPr>
          <w:t>Senate Journal</w:t>
        </w:r>
        <w:r w:rsidRPr="00834B85">
          <w:rPr>
            <w:rStyle w:val="Hyperlink"/>
            <w:rFonts w:cs="Times New Roman"/>
          </w:rPr>
          <w:noBreakHyphen/>
          <w:t>page 15</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Read third time and sent to House (</w:t>
      </w:r>
      <w:hyperlink r:id="rId12" w:history="1">
        <w:r w:rsidRPr="00834B85">
          <w:rPr>
            <w:rStyle w:val="Hyperlink"/>
            <w:rFonts w:cs="Times New Roman"/>
          </w:rPr>
          <w:t>Senate Journal</w:t>
        </w:r>
        <w:r w:rsidRPr="00834B85">
          <w:rPr>
            <w:rStyle w:val="Hyperlink"/>
            <w:rFonts w:cs="Times New Roman"/>
          </w:rPr>
          <w:noBreakHyphen/>
          <w:t>page 15</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13" w:history="1">
        <w:r w:rsidRPr="00834B85">
          <w:rPr>
            <w:rStyle w:val="Hyperlink"/>
            <w:rFonts w:cs="Times New Roman"/>
          </w:rPr>
          <w:t>Senate Journal</w:t>
        </w:r>
        <w:r w:rsidRPr="00834B85">
          <w:rPr>
            <w:rStyle w:val="Hyperlink"/>
            <w:rFonts w:cs="Times New Roman"/>
          </w:rPr>
          <w:noBreakHyphen/>
          <w:t>page 15</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Introduced and read first time (</w:t>
      </w:r>
      <w:hyperlink r:id="rId14" w:history="1">
        <w:r w:rsidRPr="00834B85">
          <w:rPr>
            <w:rStyle w:val="Hyperlink"/>
            <w:rFonts w:cs="Times New Roman"/>
          </w:rPr>
          <w:t>House Journal</w:t>
        </w:r>
        <w:r w:rsidRPr="00834B85">
          <w:rPr>
            <w:rStyle w:val="Hyperlink"/>
            <w:rFonts w:cs="Times New Roman"/>
          </w:rPr>
          <w:noBreakHyphen/>
          <w:t>page 67</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 xml:space="preserve">Referred to Committee on </w:t>
      </w:r>
      <w:r w:rsidRPr="00834B85">
        <w:rPr>
          <w:rFonts w:cs="Times New Roman"/>
          <w:b/>
        </w:rPr>
        <w:t>Ways and Means</w:t>
      </w:r>
      <w:r>
        <w:rPr>
          <w:rFonts w:cs="Times New Roman"/>
        </w:rPr>
        <w:t xml:space="preserve"> (</w:t>
      </w:r>
      <w:hyperlink r:id="rId15" w:history="1">
        <w:r w:rsidRPr="00834B85">
          <w:rPr>
            <w:rStyle w:val="Hyperlink"/>
            <w:rFonts w:cs="Times New Roman"/>
          </w:rPr>
          <w:t>House Journal</w:t>
        </w:r>
        <w:r w:rsidRPr="00834B85">
          <w:rPr>
            <w:rStyle w:val="Hyperlink"/>
            <w:rFonts w:cs="Times New Roman"/>
          </w:rPr>
          <w:noBreakHyphen/>
          <w:t>page 67</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834B85">
        <w:rPr>
          <w:rFonts w:cs="Times New Roman"/>
          <w:b/>
        </w:rPr>
        <w:t>Ways and Means</w:t>
      </w:r>
      <w:r>
        <w:rPr>
          <w:rFonts w:cs="Times New Roman"/>
        </w:rPr>
        <w:t xml:space="preserve"> (</w:t>
      </w:r>
      <w:hyperlink r:id="rId16" w:history="1">
        <w:r w:rsidRPr="00834B85">
          <w:rPr>
            <w:rStyle w:val="Hyperlink"/>
            <w:rFonts w:cs="Times New Roman"/>
          </w:rPr>
          <w:t>House Journal</w:t>
        </w:r>
        <w:r w:rsidRPr="00834B85">
          <w:rPr>
            <w:rStyle w:val="Hyperlink"/>
            <w:rFonts w:cs="Times New Roman"/>
          </w:rPr>
          <w:noBreakHyphen/>
          <w:t>page 77</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r>
      <w:r>
        <w:rPr>
          <w:rFonts w:cs="Times New Roman"/>
        </w:rPr>
        <w:tab/>
        <w:t>Scrivener's error corrected</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7" w:history="1">
        <w:r w:rsidRPr="00834B85">
          <w:rPr>
            <w:rStyle w:val="Hyperlink"/>
            <w:rFonts w:cs="Times New Roman"/>
          </w:rPr>
          <w:t>House Journal</w:t>
        </w:r>
        <w:r w:rsidRPr="00834B85">
          <w:rPr>
            <w:rStyle w:val="Hyperlink"/>
            <w:rFonts w:cs="Times New Roman"/>
          </w:rPr>
          <w:noBreakHyphen/>
          <w:t>page 20</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8" w:history="1">
        <w:r w:rsidRPr="00834B85">
          <w:rPr>
            <w:rStyle w:val="Hyperlink"/>
            <w:rFonts w:cs="Times New Roman"/>
          </w:rPr>
          <w:t>House Journal</w:t>
        </w:r>
        <w:r w:rsidRPr="00834B85">
          <w:rPr>
            <w:rStyle w:val="Hyperlink"/>
            <w:rFonts w:cs="Times New Roman"/>
          </w:rPr>
          <w:noBreakHyphen/>
          <w:t>page 23</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101  Nays</w:t>
      </w:r>
      <w:r>
        <w:rPr>
          <w:rFonts w:cs="Times New Roman"/>
        </w:rPr>
        <w:noBreakHyphen/>
        <w:t>3 (</w:t>
      </w:r>
      <w:hyperlink r:id="rId19" w:history="1">
        <w:r w:rsidRPr="00834B85">
          <w:rPr>
            <w:rStyle w:val="Hyperlink"/>
            <w:rFonts w:cs="Times New Roman"/>
          </w:rPr>
          <w:t>House Journal</w:t>
        </w:r>
        <w:r w:rsidRPr="00834B85">
          <w:rPr>
            <w:rStyle w:val="Hyperlink"/>
            <w:rFonts w:cs="Times New Roman"/>
          </w:rPr>
          <w:noBreakHyphen/>
          <w:t>page 23</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enrolled (</w:t>
      </w:r>
      <w:hyperlink r:id="rId20" w:history="1">
        <w:r w:rsidRPr="00834B85">
          <w:rPr>
            <w:rStyle w:val="Hyperlink"/>
            <w:rFonts w:cs="Times New Roman"/>
          </w:rPr>
          <w:t>House Journal</w:t>
        </w:r>
        <w:r w:rsidRPr="00834B85">
          <w:rPr>
            <w:rStyle w:val="Hyperlink"/>
            <w:rFonts w:cs="Times New Roman"/>
          </w:rPr>
          <w:noBreakHyphen/>
          <w:t>page 4</w:t>
        </w:r>
      </w:hyperlink>
      <w:r>
        <w:rPr>
          <w:rFonts w:cs="Times New Roman"/>
        </w:rPr>
        <w:t>)</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70</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825390" w:rsidRDefault="00825390" w:rsidP="00825390">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56</w:t>
      </w:r>
    </w:p>
    <w:p w:rsidR="00825390" w:rsidRDefault="00825390" w:rsidP="00825390">
      <w:pPr>
        <w:widowControl w:val="0"/>
        <w:tabs>
          <w:tab w:val="right" w:pos="1008"/>
          <w:tab w:val="left" w:pos="1152"/>
          <w:tab w:val="left" w:pos="1872"/>
          <w:tab w:val="left" w:pos="9187"/>
        </w:tabs>
        <w:ind w:left="2088" w:hanging="2088"/>
        <w:rPr>
          <w:rFonts w:cs="Times New Roman"/>
        </w:rPr>
      </w:pPr>
    </w:p>
    <w:p w:rsidR="00830598" w:rsidRPr="00830598" w:rsidRDefault="00830598" w:rsidP="00830598">
      <w:pPr>
        <w:widowControl w:val="0"/>
        <w:tabs>
          <w:tab w:val="right" w:pos="1008"/>
          <w:tab w:val="left" w:pos="1152"/>
          <w:tab w:val="left" w:pos="1872"/>
          <w:tab w:val="left" w:pos="9187"/>
        </w:tabs>
        <w:ind w:left="2088" w:hanging="2088"/>
        <w:rPr>
          <w:rFonts w:eastAsia="Times New Roman" w:cs="Times New Roman"/>
          <w:szCs w:val="20"/>
        </w:rPr>
      </w:pPr>
      <w:r w:rsidRPr="00830598">
        <w:rPr>
          <w:rFonts w:eastAsia="Times New Roman" w:cs="Times New Roman"/>
          <w:szCs w:val="20"/>
        </w:rPr>
        <w:t xml:space="preserve">View the latest </w:t>
      </w:r>
      <w:hyperlink r:id="rId21" w:history="1">
        <w:r w:rsidRPr="00830598">
          <w:rPr>
            <w:rFonts w:eastAsia="Times New Roman" w:cs="Times New Roman"/>
            <w:color w:val="0000FF" w:themeColor="hyperlink"/>
            <w:szCs w:val="20"/>
            <w:u w:val="single"/>
          </w:rPr>
          <w:t>legislative information</w:t>
        </w:r>
      </w:hyperlink>
      <w:r w:rsidRPr="00830598">
        <w:rPr>
          <w:rFonts w:eastAsia="Times New Roman" w:cs="Times New Roman"/>
          <w:szCs w:val="20"/>
        </w:rPr>
        <w:t xml:space="preserve"> at the website</w:t>
      </w:r>
    </w:p>
    <w:p w:rsidR="00830598" w:rsidRPr="00830598" w:rsidRDefault="00830598" w:rsidP="00830598">
      <w:pPr>
        <w:widowControl w:val="0"/>
        <w:tabs>
          <w:tab w:val="right" w:pos="1008"/>
          <w:tab w:val="left" w:pos="1152"/>
          <w:tab w:val="left" w:pos="1872"/>
          <w:tab w:val="left" w:pos="9187"/>
        </w:tabs>
        <w:ind w:left="2088" w:hanging="2088"/>
        <w:rPr>
          <w:rFonts w:eastAsia="Times New Roman" w:cs="Times New Roman"/>
          <w:szCs w:val="20"/>
        </w:rPr>
      </w:pPr>
    </w:p>
    <w:p w:rsidR="00830598" w:rsidRPr="00830598" w:rsidRDefault="00830598" w:rsidP="00830598">
      <w:pPr>
        <w:widowControl w:val="0"/>
        <w:tabs>
          <w:tab w:val="right" w:pos="1008"/>
          <w:tab w:val="left" w:pos="1152"/>
          <w:tab w:val="left" w:pos="1872"/>
          <w:tab w:val="left" w:pos="9187"/>
        </w:tabs>
        <w:ind w:left="2088" w:hanging="2088"/>
        <w:rPr>
          <w:rFonts w:eastAsia="Times New Roman" w:cs="Times New Roman"/>
          <w:szCs w:val="20"/>
        </w:rPr>
      </w:pP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0598">
        <w:rPr>
          <w:rFonts w:eastAsia="Times New Roman" w:cs="Times New Roman"/>
          <w:b/>
          <w:szCs w:val="20"/>
        </w:rPr>
        <w:t>VERSIONS OF THIS BILL</w:t>
      </w:r>
    </w:p>
    <w:p w:rsidR="00830598" w:rsidRPr="00830598" w:rsidRDefault="0083059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598" w:rsidRPr="00830598" w:rsidRDefault="00167548" w:rsidP="00830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830598" w:rsidRPr="00830598">
          <w:rPr>
            <w:rFonts w:eastAsia="Times New Roman" w:cs="Times New Roman"/>
            <w:color w:val="0000FF" w:themeColor="hyperlink"/>
            <w:szCs w:val="20"/>
            <w:u w:val="single"/>
          </w:rPr>
          <w:t>2/4/2021</w:t>
        </w:r>
      </w:hyperlink>
    </w:p>
    <w:p w:rsidR="00830598" w:rsidRPr="00830598" w:rsidRDefault="0016754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30598" w:rsidRPr="00830598">
          <w:rPr>
            <w:rFonts w:eastAsia="Times New Roman" w:cs="Times New Roman"/>
            <w:color w:val="0000FF" w:themeColor="hyperlink"/>
            <w:szCs w:val="20"/>
            <w:u w:val="single"/>
          </w:rPr>
          <w:t>3/17/2021</w:t>
        </w:r>
      </w:hyperlink>
    </w:p>
    <w:p w:rsidR="00830598" w:rsidRPr="00830598" w:rsidRDefault="0016754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30598" w:rsidRPr="00830598">
          <w:rPr>
            <w:rFonts w:eastAsia="Times New Roman" w:cs="Times New Roman"/>
            <w:color w:val="0000FF" w:themeColor="hyperlink"/>
            <w:szCs w:val="20"/>
            <w:u w:val="single"/>
          </w:rPr>
          <w:t>3/24/2021</w:t>
        </w:r>
      </w:hyperlink>
    </w:p>
    <w:p w:rsidR="00830598" w:rsidRPr="00830598" w:rsidRDefault="0016754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30598" w:rsidRPr="00830598">
          <w:rPr>
            <w:rFonts w:eastAsia="Times New Roman" w:cs="Times New Roman"/>
            <w:color w:val="0000FF" w:themeColor="hyperlink"/>
            <w:szCs w:val="20"/>
            <w:u w:val="single"/>
          </w:rPr>
          <w:t>4/6/2021</w:t>
        </w:r>
      </w:hyperlink>
    </w:p>
    <w:p w:rsidR="00830598" w:rsidRPr="00830598" w:rsidRDefault="0016754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30598" w:rsidRPr="00830598">
          <w:rPr>
            <w:rFonts w:eastAsia="Times New Roman" w:cs="Times New Roman"/>
            <w:color w:val="0000FF" w:themeColor="hyperlink"/>
            <w:szCs w:val="20"/>
            <w:u w:val="single"/>
          </w:rPr>
          <w:t>5/4/2021</w:t>
        </w:r>
      </w:hyperlink>
    </w:p>
    <w:p w:rsidR="00830598" w:rsidRPr="00830598" w:rsidRDefault="0016754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30598" w:rsidRPr="00830598">
          <w:rPr>
            <w:rFonts w:eastAsia="Times New Roman" w:cs="Times New Roman"/>
            <w:color w:val="0000FF" w:themeColor="hyperlink"/>
            <w:szCs w:val="20"/>
            <w:u w:val="single"/>
          </w:rPr>
          <w:t>5/5/2021</w:t>
        </w:r>
      </w:hyperlink>
    </w:p>
    <w:p w:rsidR="00830598" w:rsidRPr="00830598" w:rsidRDefault="0083059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0598" w:rsidRDefault="00830598" w:rsidP="0083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0598" w:rsidSect="00830598">
          <w:pgSz w:w="12240" w:h="15840" w:code="1"/>
          <w:pgMar w:top="1080" w:right="1440" w:bottom="1080" w:left="1440" w:header="720" w:footer="720" w:gutter="0"/>
          <w:pgNumType w:start="1"/>
          <w:cols w:space="720"/>
          <w:noEndnote/>
          <w:docGrid w:linePitch="360"/>
        </w:sectPr>
      </w:pPr>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(A56, R70, S527)</w:t>
      </w:r>
    </w:p>
    <w:p w:rsidR="00EC2DBA" w:rsidRPr="008836A5"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C2DBA" w:rsidRPr="00830598"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0598">
        <w:rPr>
          <w:rFonts w:cs="Times New Roman"/>
          <w:b/>
          <w:color w:val="000000" w:themeColor="text1"/>
          <w:szCs w:val="36"/>
        </w:rPr>
        <w:t xml:space="preserve">AN ACT </w:t>
      </w:r>
      <w:r w:rsidRPr="00830598">
        <w:rPr>
          <w:rFonts w:cs="Times New Roman"/>
          <w:b/>
          <w:color w:val="000000" w:themeColor="text1"/>
          <w:u w:color="000000" w:themeColor="text1"/>
        </w:rPr>
        <w:t>TO AMEND SECTION 12</w:t>
      </w:r>
      <w:r w:rsidRPr="00830598">
        <w:rPr>
          <w:rFonts w:cs="Times New Roman"/>
          <w:b/>
          <w:color w:val="000000" w:themeColor="text1"/>
          <w:u w:color="000000" w:themeColor="text1"/>
        </w:rPr>
        <w:noBreakHyphen/>
        <w:t>43</w:t>
      </w:r>
      <w:r w:rsidRPr="00830598">
        <w:rPr>
          <w:rFonts w:cs="Times New Roman"/>
          <w:b/>
          <w:color w:val="000000" w:themeColor="text1"/>
          <w:u w:color="000000" w:themeColor="text1"/>
        </w:rPr>
        <w:noBreakHyphen/>
        <w:t>220, AS AMENDED, CODE OF LAWS OF SOUTH CAROLINA, 1976, RELATING TO THE CLASSIFICATION OF PROPERTY AND THE APPLICABLE ASSESSMENT RATIOS FOR THE VARIOUS CLASSES OF PROPERTY, SO AS TO PROVIDE THAT CERTAIN SEPARATED SPOUSES ARE NOT CONSIDERED MEMBERS OF THE SAME HOUSEHOLD FOR PURPOSES OF APPLICABILITY FOR THE SPECIAL FOUR-PERCENT ASSESSMENT RATIO FOR OWNER</w:t>
      </w:r>
      <w:r w:rsidRPr="00830598">
        <w:rPr>
          <w:rFonts w:cs="Times New Roman"/>
          <w:b/>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1643">
        <w:rPr>
          <w:rFonts w:cs="Times New Roman"/>
        </w:rPr>
        <w:t>Be it enacted by the General Assembly of the State of South Carolina:</w:t>
      </w:r>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2DBA" w:rsidRPr="006F0806"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0806">
        <w:rPr>
          <w:b/>
          <w:color w:val="000000" w:themeColor="text1"/>
        </w:rPr>
        <w:t>Special assessment ratio applicability</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SECTION</w:t>
      </w:r>
      <w:r w:rsidRPr="000B1643">
        <w:rPr>
          <w:rFonts w:cs="Times New Roman"/>
          <w:color w:val="000000" w:themeColor="text1"/>
          <w:u w:color="000000" w:themeColor="text1"/>
        </w:rPr>
        <w:tab/>
        <w:t>1.</w:t>
      </w:r>
      <w:r w:rsidRPr="000B1643">
        <w:rPr>
          <w:rFonts w:cs="Times New Roman"/>
          <w:color w:val="000000" w:themeColor="text1"/>
          <w:u w:color="000000" w:themeColor="text1"/>
        </w:rPr>
        <w:tab/>
        <w:t>A.</w:t>
      </w:r>
      <w:r w:rsidRPr="000B1643">
        <w:rPr>
          <w:rFonts w:cs="Times New Roman"/>
          <w:color w:val="000000" w:themeColor="text1"/>
          <w:u w:color="000000" w:themeColor="text1"/>
        </w:rPr>
        <w:tab/>
        <w:t xml:space="preserve"> Section 12</w:t>
      </w:r>
      <w:r>
        <w:rPr>
          <w:rFonts w:cs="Times New Roman"/>
          <w:color w:val="000000" w:themeColor="text1"/>
          <w:u w:color="000000" w:themeColor="text1"/>
        </w:rPr>
        <w:noBreakHyphen/>
      </w:r>
      <w:r w:rsidRPr="000B1643">
        <w:rPr>
          <w:rFonts w:cs="Times New Roman"/>
          <w:color w:val="000000" w:themeColor="text1"/>
          <w:u w:color="000000" w:themeColor="text1"/>
        </w:rPr>
        <w:t>43</w:t>
      </w:r>
      <w:r>
        <w:rPr>
          <w:rFonts w:cs="Times New Roman"/>
          <w:color w:val="000000" w:themeColor="text1"/>
          <w:u w:color="000000" w:themeColor="text1"/>
        </w:rPr>
        <w:noBreakHyphen/>
      </w:r>
      <w:r w:rsidRPr="000B1643">
        <w:rPr>
          <w:rFonts w:cs="Times New Roman"/>
          <w:color w:val="000000" w:themeColor="text1"/>
          <w:u w:color="000000" w:themeColor="text1"/>
        </w:rPr>
        <w:t>220(c)(2)(iii) of the 1976 Code is amended to read:</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t>“(iii)</w:t>
      </w:r>
      <w:r w:rsidRPr="000B1643">
        <w:rPr>
          <w:rFonts w:cs="Times New Roman"/>
          <w:color w:val="000000" w:themeColor="text1"/>
          <w:u w:color="000000" w:themeColor="text1"/>
        </w:rPr>
        <w:tab/>
        <w:t xml:space="preserve"> For purposes of subitem (ii):</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r>
      <w:r w:rsidRPr="000B1643">
        <w:rPr>
          <w:rFonts w:cs="Times New Roman"/>
          <w:color w:val="000000" w:themeColor="text1"/>
          <w:u w:color="000000" w:themeColor="text1"/>
        </w:rPr>
        <w:tab/>
        <w:t>(A)</w:t>
      </w:r>
      <w:r w:rsidRPr="000B1643">
        <w:rPr>
          <w:rFonts w:cs="Times New Roman"/>
          <w:color w:val="000000" w:themeColor="text1"/>
          <w:u w:color="000000" w:themeColor="text1"/>
        </w:rPr>
        <w:tab/>
      </w:r>
      <w:r>
        <w:rPr>
          <w:rFonts w:cs="Times New Roman"/>
          <w:color w:val="000000" w:themeColor="text1"/>
          <w:u w:color="000000" w:themeColor="text1"/>
        </w:rPr>
        <w:t>‘</w:t>
      </w:r>
      <w:r w:rsidRPr="000B1643">
        <w:rPr>
          <w:rFonts w:cs="Times New Roman"/>
          <w:color w:val="000000" w:themeColor="text1"/>
          <w:u w:color="000000" w:themeColor="text1"/>
        </w:rPr>
        <w:t>Member of my household</w:t>
      </w:r>
      <w:r>
        <w:rPr>
          <w:rFonts w:cs="Times New Roman"/>
          <w:color w:val="000000" w:themeColor="text1"/>
          <w:u w:color="000000" w:themeColor="text1"/>
        </w:rPr>
        <w:t>’</w:t>
      </w:r>
      <w:r w:rsidRPr="000B1643">
        <w:rPr>
          <w:rFonts w:cs="Times New Roman"/>
          <w:color w:val="000000" w:themeColor="text1"/>
          <w:u w:color="000000" w:themeColor="text1"/>
        </w:rPr>
        <w:t xml:space="preserve"> means:</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r>
      <w:r w:rsidRPr="000B1643">
        <w:rPr>
          <w:rFonts w:cs="Times New Roman"/>
          <w:color w:val="000000" w:themeColor="text1"/>
          <w:u w:color="000000" w:themeColor="text1"/>
        </w:rPr>
        <w:tab/>
      </w:r>
      <w:r w:rsidRPr="000B1643">
        <w:rPr>
          <w:rFonts w:cs="Times New Roman"/>
          <w:color w:val="000000" w:themeColor="text1"/>
          <w:u w:color="000000" w:themeColor="text1"/>
        </w:rPr>
        <w:tab/>
        <w:t>(a)</w:t>
      </w:r>
      <w:r w:rsidRPr="000B1643">
        <w:rPr>
          <w:rFonts w:cs="Times New Roman"/>
          <w:color w:val="000000" w:themeColor="text1"/>
          <w:u w:color="000000" w:themeColor="text1"/>
        </w:rPr>
        <w:tab/>
        <w:t>the owner</w:t>
      </w:r>
      <w:r>
        <w:rPr>
          <w:rFonts w:cs="Times New Roman"/>
          <w:color w:val="000000" w:themeColor="text1"/>
          <w:u w:color="000000" w:themeColor="text1"/>
        </w:rPr>
        <w:noBreakHyphen/>
      </w:r>
      <w:r w:rsidRPr="000B1643">
        <w:rPr>
          <w:rFonts w:cs="Times New Roman"/>
          <w:color w:val="000000" w:themeColor="text1"/>
          <w:u w:color="000000" w:themeColor="text1"/>
        </w:rPr>
        <w:t>occupant</w:t>
      </w:r>
      <w:r>
        <w:rPr>
          <w:rFonts w:cs="Times New Roman"/>
          <w:color w:val="000000" w:themeColor="text1"/>
          <w:u w:color="000000" w:themeColor="text1"/>
        </w:rPr>
        <w:t>’</w:t>
      </w:r>
      <w:r w:rsidRPr="000B1643">
        <w:rPr>
          <w:rFonts w:cs="Times New Roman"/>
          <w:color w:val="000000" w:themeColor="text1"/>
          <w:u w:color="000000" w:themeColor="text1"/>
        </w:rPr>
        <w:t xml:space="preserve">s spouse, except when that spouse </w:t>
      </w:r>
      <w:r w:rsidRPr="000B1643">
        <w:rPr>
          <w:rFonts w:cs="Times New Roman"/>
          <w:color w:val="000000" w:themeColor="text1"/>
        </w:rPr>
        <w:t xml:space="preserve">has filed </w:t>
      </w:r>
      <w:r w:rsidRPr="000B1643">
        <w:rPr>
          <w:rFonts w:cs="Times New Roman"/>
          <w:color w:val="000000" w:themeColor="text1"/>
          <w:u w:color="000000" w:themeColor="text1"/>
        </w:rPr>
        <w:t>a complaint for separate support and maintenance with the appropriate family court, lives separate and apart in a different residence, and no longer cohabitates as husband and wife with</w:t>
      </w:r>
      <w:r w:rsidRPr="000B1643">
        <w:rPr>
          <w:rFonts w:cs="Times New Roman"/>
          <w:color w:val="000000" w:themeColor="text1"/>
        </w:rPr>
        <w:t xml:space="preserve"> </w:t>
      </w:r>
      <w:r w:rsidRPr="000B1643">
        <w:rPr>
          <w:rFonts w:cs="Times New Roman"/>
          <w:color w:val="000000" w:themeColor="text1"/>
          <w:u w:color="000000" w:themeColor="text1"/>
        </w:rPr>
        <w:t>the owner</w:t>
      </w:r>
      <w:r>
        <w:rPr>
          <w:rFonts w:cs="Times New Roman"/>
          <w:color w:val="000000" w:themeColor="text1"/>
          <w:u w:color="000000" w:themeColor="text1"/>
        </w:rPr>
        <w:noBreakHyphen/>
      </w:r>
      <w:r w:rsidRPr="000B1643">
        <w:rPr>
          <w:rFonts w:cs="Times New Roman"/>
          <w:color w:val="000000" w:themeColor="text1"/>
          <w:u w:color="000000" w:themeColor="text1"/>
        </w:rPr>
        <w:t>occupant; and</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r>
      <w:r w:rsidRPr="000B1643">
        <w:rPr>
          <w:rFonts w:cs="Times New Roman"/>
          <w:color w:val="000000" w:themeColor="text1"/>
          <w:u w:color="000000" w:themeColor="text1"/>
        </w:rPr>
        <w:tab/>
      </w:r>
      <w:r w:rsidRPr="000B1643">
        <w:rPr>
          <w:rFonts w:cs="Times New Roman"/>
          <w:color w:val="000000" w:themeColor="text1"/>
          <w:u w:color="000000" w:themeColor="text1"/>
        </w:rPr>
        <w:tab/>
        <w:t>(b)</w:t>
      </w:r>
      <w:r w:rsidRPr="000B1643">
        <w:rPr>
          <w:rFonts w:cs="Times New Roman"/>
          <w:color w:val="000000" w:themeColor="text1"/>
          <w:u w:color="000000" w:themeColor="text1"/>
        </w:rPr>
        <w:tab/>
        <w:t>any child under the age of eighteen years of the owner</w:t>
      </w:r>
      <w:r>
        <w:rPr>
          <w:rFonts w:cs="Times New Roman"/>
          <w:color w:val="000000" w:themeColor="text1"/>
          <w:u w:color="000000" w:themeColor="text1"/>
        </w:rPr>
        <w:noBreakHyphen/>
      </w:r>
      <w:r w:rsidRPr="000B1643">
        <w:rPr>
          <w:rFonts w:cs="Times New Roman"/>
          <w:color w:val="000000" w:themeColor="text1"/>
          <w:u w:color="000000" w:themeColor="text1"/>
        </w:rPr>
        <w:t>occupant claimed or eligible to be claimed as a dependent on the owner</w:t>
      </w:r>
      <w:r>
        <w:rPr>
          <w:rFonts w:cs="Times New Roman"/>
          <w:color w:val="000000" w:themeColor="text1"/>
          <w:u w:color="000000" w:themeColor="text1"/>
        </w:rPr>
        <w:noBreakHyphen/>
      </w:r>
      <w:r w:rsidRPr="000B1643">
        <w:rPr>
          <w:rFonts w:cs="Times New Roman"/>
          <w:color w:val="000000" w:themeColor="text1"/>
          <w:u w:color="000000" w:themeColor="text1"/>
        </w:rPr>
        <w:t>occupant</w:t>
      </w:r>
      <w:r>
        <w:rPr>
          <w:rFonts w:cs="Times New Roman"/>
          <w:color w:val="000000" w:themeColor="text1"/>
          <w:u w:color="000000" w:themeColor="text1"/>
        </w:rPr>
        <w:t>’</w:t>
      </w:r>
      <w:r w:rsidRPr="000B1643">
        <w:rPr>
          <w:rFonts w:cs="Times New Roman"/>
          <w:color w:val="000000" w:themeColor="text1"/>
          <w:u w:color="000000" w:themeColor="text1"/>
        </w:rPr>
        <w:t>s federal income tax return</w:t>
      </w:r>
      <w:r w:rsidRPr="000B1643">
        <w:rPr>
          <w:rFonts w:cs="Times New Roman"/>
          <w:color w:val="000000" w:themeColor="text1"/>
        </w:rPr>
        <w:t>.</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r>
      <w:r w:rsidRPr="000B1643">
        <w:rPr>
          <w:rFonts w:cs="Times New Roman"/>
          <w:color w:val="000000" w:themeColor="text1"/>
          <w:u w:color="000000" w:themeColor="text1"/>
        </w:rPr>
        <w:tab/>
        <w:t>(B)</w:t>
      </w:r>
      <w:r w:rsidRPr="000B1643">
        <w:rPr>
          <w:rFonts w:cs="Times New Roman"/>
          <w:color w:val="000000" w:themeColor="text1"/>
          <w:u w:color="000000" w:themeColor="text1"/>
        </w:rPr>
        <w:tab/>
      </w:r>
      <w:r w:rsidRPr="000B1643">
        <w:rPr>
          <w:rFonts w:cs="Times New Roman"/>
          <w:color w:val="000000" w:themeColor="text1"/>
        </w:rPr>
        <w:t>Regarding the circumstances in which a spouse has filed a complaint for separate support and maintenance with the appropriate family court, lives separate and apart in a different residence, and no longer cohabitates as husband and wife with the owner</w:t>
      </w:r>
      <w:r>
        <w:rPr>
          <w:rFonts w:cs="Times New Roman"/>
          <w:color w:val="000000" w:themeColor="text1"/>
        </w:rPr>
        <w:noBreakHyphen/>
      </w:r>
      <w:r w:rsidRPr="000B1643">
        <w:rPr>
          <w:rFonts w:cs="Times New Roman"/>
          <w:color w:val="000000" w:themeColor="text1"/>
        </w:rPr>
        <w:t>occupant:</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r>
      <w:r w:rsidRPr="000B1643">
        <w:rPr>
          <w:rFonts w:cs="Times New Roman"/>
          <w:color w:val="000000" w:themeColor="text1"/>
          <w:u w:color="000000" w:themeColor="text1"/>
        </w:rPr>
        <w:tab/>
      </w:r>
      <w:r w:rsidRPr="000B1643">
        <w:rPr>
          <w:rFonts w:cs="Times New Roman"/>
          <w:color w:val="000000" w:themeColor="text1"/>
          <w:u w:color="000000" w:themeColor="text1"/>
        </w:rPr>
        <w:tab/>
      </w:r>
      <w:r w:rsidRPr="000B1643">
        <w:rPr>
          <w:rFonts w:cs="Times New Roman"/>
          <w:color w:val="000000" w:themeColor="text1"/>
        </w:rPr>
        <w:t>(a)</w:t>
      </w:r>
      <w:r w:rsidRPr="000B1643">
        <w:rPr>
          <w:rFonts w:cs="Times New Roman"/>
          <w:color w:val="000000" w:themeColor="text1"/>
        </w:rPr>
        <w:tab/>
      </w:r>
      <w:r w:rsidRPr="000B1643">
        <w:rPr>
          <w:rFonts w:cs="Times New Roman"/>
          <w:color w:val="000000" w:themeColor="text1"/>
          <w:u w:color="000000" w:themeColor="text1"/>
        </w:rPr>
        <w:t>if either party to a complaint for separate support and maintenance receives the special four</w:t>
      </w:r>
      <w:r>
        <w:rPr>
          <w:rFonts w:cs="Times New Roman"/>
          <w:color w:val="000000" w:themeColor="text1"/>
          <w:u w:color="000000" w:themeColor="text1"/>
        </w:rPr>
        <w:noBreakHyphen/>
      </w:r>
      <w:r w:rsidRPr="000B1643">
        <w:rPr>
          <w:rFonts w:cs="Times New Roman"/>
          <w:color w:val="000000" w:themeColor="text1"/>
          <w:u w:color="000000" w:themeColor="text1"/>
        </w:rPr>
        <w:t xml:space="preserve">percent assessment ratio on a residence while the couple </w:t>
      </w:r>
      <w:r w:rsidRPr="000B1643">
        <w:rPr>
          <w:rFonts w:cs="Times New Roman"/>
          <w:color w:val="000000" w:themeColor="text1"/>
        </w:rPr>
        <w:t>lives separate and apart in different residences and no longer cohabitates as husband and wife</w:t>
      </w:r>
      <w:r w:rsidRPr="000B1643">
        <w:rPr>
          <w:rFonts w:cs="Times New Roman"/>
          <w:color w:val="000000" w:themeColor="text1"/>
          <w:u w:color="000000" w:themeColor="text1"/>
        </w:rPr>
        <w:t xml:space="preserve"> and the couple subsequently reconciles, then the spouse vacating a residence receiving the special four</w:t>
      </w:r>
      <w:r>
        <w:rPr>
          <w:rFonts w:cs="Times New Roman"/>
          <w:color w:val="000000" w:themeColor="text1"/>
          <w:u w:color="000000" w:themeColor="text1"/>
        </w:rPr>
        <w:noBreakHyphen/>
      </w:r>
      <w:r w:rsidRPr="000B1643">
        <w:rPr>
          <w:rFonts w:cs="Times New Roman"/>
          <w:color w:val="000000" w:themeColor="text1"/>
          <w:u w:color="000000" w:themeColor="text1"/>
        </w:rPr>
        <w:t xml:space="preserve">percent assessment shall notify the county assessor in </w:t>
      </w:r>
      <w:r w:rsidRPr="000B1643">
        <w:rPr>
          <w:rFonts w:cs="Times New Roman"/>
          <w:color w:val="000000" w:themeColor="text1"/>
          <w:u w:color="000000" w:themeColor="text1"/>
        </w:rPr>
        <w:lastRenderedPageBreak/>
        <w:t>writing within six months of vacating that residence that the residence is no longer eligible for the special four</w:t>
      </w:r>
      <w:r>
        <w:rPr>
          <w:rFonts w:cs="Times New Roman"/>
          <w:color w:val="000000" w:themeColor="text1"/>
          <w:u w:color="000000" w:themeColor="text1"/>
        </w:rPr>
        <w:noBreakHyphen/>
      </w:r>
      <w:r w:rsidRPr="000B1643">
        <w:rPr>
          <w:rFonts w:cs="Times New Roman"/>
          <w:color w:val="000000" w:themeColor="text1"/>
          <w:u w:color="000000" w:themeColor="text1"/>
        </w:rPr>
        <w:t>percent assessment ratio. A failure to provide timely notice to the assessor subjects the owner to the provisions of subitem (vii); and</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r>
      <w:r w:rsidRPr="000B1643">
        <w:rPr>
          <w:rFonts w:cs="Times New Roman"/>
          <w:color w:val="000000" w:themeColor="text1"/>
          <w:u w:color="000000" w:themeColor="text1"/>
        </w:rPr>
        <w:tab/>
      </w:r>
      <w:r w:rsidRPr="000B1643">
        <w:rPr>
          <w:rFonts w:cs="Times New Roman"/>
          <w:color w:val="000000" w:themeColor="text1"/>
          <w:u w:color="000000" w:themeColor="text1"/>
        </w:rPr>
        <w:tab/>
      </w:r>
      <w:r w:rsidRPr="000B1643">
        <w:rPr>
          <w:rFonts w:cs="Times New Roman"/>
          <w:color w:val="000000" w:themeColor="text1"/>
        </w:rPr>
        <w:t>(b)</w:t>
      </w:r>
      <w:r w:rsidRPr="000B1643">
        <w:rPr>
          <w:rFonts w:cs="Times New Roman"/>
          <w:color w:val="000000" w:themeColor="text1"/>
        </w:rPr>
        <w:tab/>
      </w:r>
      <w:r w:rsidRPr="000B1643">
        <w:rPr>
          <w:rFonts w:cs="Times New Roman"/>
          <w:color w:val="000000" w:themeColor="text1"/>
          <w:u w:color="000000" w:themeColor="text1"/>
        </w:rPr>
        <w:t xml:space="preserve">to prove that a person is divorced or </w:t>
      </w:r>
      <w:r w:rsidRPr="000B1643">
        <w:rPr>
          <w:rFonts w:cs="Times New Roman"/>
          <w:color w:val="000000" w:themeColor="text1"/>
        </w:rPr>
        <w:t xml:space="preserve">has filed </w:t>
      </w:r>
      <w:r w:rsidRPr="000B1643">
        <w:rPr>
          <w:rFonts w:cs="Times New Roman"/>
          <w:color w:val="000000" w:themeColor="text1"/>
          <w:u w:color="000000" w:themeColor="text1"/>
        </w:rPr>
        <w:t>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in the order related to the disposition of the legal residence of the couple, or other owner</w:t>
      </w:r>
      <w:r>
        <w:rPr>
          <w:rFonts w:cs="Times New Roman"/>
          <w:color w:val="000000" w:themeColor="text1"/>
          <w:u w:color="000000" w:themeColor="text1"/>
        </w:rPr>
        <w:noBreakHyphen/>
      </w:r>
      <w:r w:rsidRPr="000B1643">
        <w:rPr>
          <w:rFonts w:cs="Times New Roman"/>
          <w:color w:val="000000" w:themeColor="text1"/>
          <w:u w:color="000000" w:themeColor="text1"/>
        </w:rPr>
        <w:t>occupied real property owned by either party, whether independently or jointly, prior to any action must be provided to the assessor in order to claim the special assessment ratio allowed by subsection (c).”</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77E6">
        <w:rPr>
          <w:rFonts w:cs="Times New Roman"/>
          <w:color w:val="000000" w:themeColor="text1"/>
          <w:u w:color="000000" w:themeColor="text1"/>
        </w:rPr>
        <w:t>SECTION</w:t>
      </w:r>
      <w:r w:rsidRPr="002077E6">
        <w:rPr>
          <w:rFonts w:cs="Times New Roman"/>
          <w:color w:val="000000" w:themeColor="text1"/>
          <w:u w:color="000000" w:themeColor="text1"/>
        </w:rPr>
        <w:tab/>
        <w:t>1.B.</w:t>
      </w:r>
      <w:r w:rsidRPr="002077E6">
        <w:rPr>
          <w:rFonts w:cs="Times New Roman"/>
          <w:color w:val="000000" w:themeColor="text1"/>
          <w:u w:color="000000" w:themeColor="text1"/>
        </w:rPr>
        <w:tab/>
        <w:t>Section 12</w:t>
      </w:r>
      <w:r w:rsidRPr="002077E6">
        <w:rPr>
          <w:rFonts w:cs="Times New Roman"/>
          <w:color w:val="000000" w:themeColor="text1"/>
          <w:u w:color="000000" w:themeColor="text1"/>
        </w:rPr>
        <w:noBreakHyphen/>
        <w:t>43</w:t>
      </w:r>
      <w:r w:rsidRPr="002077E6">
        <w:rPr>
          <w:rFonts w:cs="Times New Roman"/>
          <w:color w:val="000000" w:themeColor="text1"/>
          <w:u w:color="000000" w:themeColor="text1"/>
        </w:rPr>
        <w:noBreakHyphen/>
        <w:t>220(c)(2) of the 1976 Code, as last amended by Act 145 of 2020, is further amended by adding at the end:</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B1643">
        <w:rPr>
          <w:rFonts w:cs="Times New Roman"/>
          <w:color w:val="000000" w:themeColor="text1"/>
          <w:u w:color="000000" w:themeColor="text1"/>
        </w:rPr>
        <w:tab/>
        <w:t>“(x)</w:t>
      </w:r>
      <w:r w:rsidRPr="000B1643">
        <w:rPr>
          <w:rFonts w:cs="Times New Roman"/>
          <w:color w:val="000000" w:themeColor="text1"/>
          <w:u w:color="000000" w:themeColor="text1"/>
        </w:rPr>
        <w:tab/>
        <w:t>An applicant for the special four</w:t>
      </w:r>
      <w:r>
        <w:rPr>
          <w:rFonts w:cs="Times New Roman"/>
          <w:color w:val="000000" w:themeColor="text1"/>
          <w:u w:color="000000" w:themeColor="text1"/>
        </w:rPr>
        <w:noBreakHyphen/>
      </w:r>
      <w:r w:rsidRPr="000B1643">
        <w:rPr>
          <w:rFonts w:cs="Times New Roman"/>
          <w:color w:val="000000" w:themeColor="text1"/>
          <w:u w:color="000000" w:themeColor="text1"/>
        </w:rPr>
        <w:t xml:space="preserve">percent assessment ratio allowed pursuant to item (c) who has </w:t>
      </w:r>
      <w:r w:rsidRPr="000B1643">
        <w:rPr>
          <w:rFonts w:cs="Times New Roman"/>
          <w:color w:val="000000" w:themeColor="text1"/>
        </w:rPr>
        <w:t>filed a complaint for separate support and maintenance with the appropriate family court, who lives separate and apart in different residences, and no longer cohabitates as husband and wife with his spouse,</w:t>
      </w:r>
      <w:r w:rsidRPr="000B1643">
        <w:rPr>
          <w:rFonts w:cs="Times New Roman"/>
          <w:color w:val="000000" w:themeColor="text1"/>
          <w:u w:color="000000" w:themeColor="text1"/>
        </w:rPr>
        <w:t xml:space="preserve"> and who is eligible pursuant to subitem (iii) must reapply and recertify annually to maintain the special four</w:t>
      </w:r>
      <w:r>
        <w:rPr>
          <w:rFonts w:cs="Times New Roman"/>
          <w:color w:val="000000" w:themeColor="text1"/>
          <w:u w:color="000000" w:themeColor="text1"/>
        </w:rPr>
        <w:noBreakHyphen/>
      </w:r>
      <w:r w:rsidRPr="000B1643">
        <w:rPr>
          <w:rFonts w:cs="Times New Roman"/>
          <w:color w:val="000000" w:themeColor="text1"/>
          <w:u w:color="000000" w:themeColor="text1"/>
        </w:rPr>
        <w:t>percent assessment ratio on his independent, owner</w:t>
      </w:r>
      <w:r>
        <w:rPr>
          <w:rFonts w:cs="Times New Roman"/>
          <w:color w:val="000000" w:themeColor="text1"/>
          <w:u w:color="000000" w:themeColor="text1"/>
        </w:rPr>
        <w:noBreakHyphen/>
      </w:r>
      <w:r w:rsidRPr="000B1643">
        <w:rPr>
          <w:rFonts w:cs="Times New Roman"/>
          <w:color w:val="000000" w:themeColor="text1"/>
          <w:u w:color="000000" w:themeColor="text1"/>
        </w:rPr>
        <w:t>occupied property until the applicant has been granted a divorce by a court of competent jurisdiction or the applicant has reconciled with his spouse, and the applicant can recover only one special four</w:t>
      </w:r>
      <w:r>
        <w:rPr>
          <w:rFonts w:cs="Times New Roman"/>
          <w:color w:val="000000" w:themeColor="text1"/>
          <w:u w:color="000000" w:themeColor="text1"/>
        </w:rPr>
        <w:noBreakHyphen/>
      </w:r>
      <w:r w:rsidRPr="000B1643">
        <w:rPr>
          <w:rFonts w:cs="Times New Roman"/>
          <w:color w:val="000000" w:themeColor="text1"/>
          <w:u w:color="000000" w:themeColor="text1"/>
        </w:rPr>
        <w:t>percent ratio for his legal residence.”</w:t>
      </w:r>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2DBA" w:rsidRPr="006F0806"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2DBA" w:rsidRPr="000B1643"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1643">
        <w:rPr>
          <w:rFonts w:cs="Times New Roman"/>
          <w:color w:val="000000" w:themeColor="text1"/>
          <w:u w:color="000000" w:themeColor="text1"/>
        </w:rPr>
        <w:t>SECTION</w:t>
      </w:r>
      <w:r w:rsidRPr="000B1643">
        <w:rPr>
          <w:rFonts w:cs="Times New Roman"/>
          <w:color w:val="000000" w:themeColor="text1"/>
          <w:u w:color="000000" w:themeColor="text1"/>
        </w:rPr>
        <w:tab/>
        <w:t>2.</w:t>
      </w:r>
      <w:r w:rsidRPr="000B1643">
        <w:rPr>
          <w:rFonts w:cs="Times New Roman"/>
          <w:color w:val="000000" w:themeColor="text1"/>
          <w:u w:color="000000" w:themeColor="text1"/>
        </w:rPr>
        <w:tab/>
        <w:t>This act takes effect upon approval by the Governor.</w:t>
      </w:r>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C2DBA" w:rsidRDefault="00EC2DBA"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EC2DBA" w:rsidRDefault="00EC2DBA" w:rsidP="00EC2DBA">
      <w:pPr>
        <w:jc w:val="both"/>
        <w:rPr>
          <w:color w:val="000000" w:themeColor="text1"/>
        </w:rPr>
      </w:pPr>
    </w:p>
    <w:p w:rsidR="00EC2DBA" w:rsidRDefault="00EC2DBA" w:rsidP="00EC2DBA">
      <w:pPr>
        <w:jc w:val="both"/>
        <w:rPr>
          <w:color w:val="000000" w:themeColor="text1"/>
        </w:rPr>
      </w:pPr>
      <w:r>
        <w:rPr>
          <w:color w:val="000000" w:themeColor="text1"/>
        </w:rPr>
        <w:t>Approved the 17</w:t>
      </w:r>
      <w:r w:rsidRPr="00E56D74">
        <w:rPr>
          <w:color w:val="000000" w:themeColor="text1"/>
          <w:vertAlign w:val="superscript"/>
        </w:rPr>
        <w:t>th</w:t>
      </w:r>
      <w:r>
        <w:rPr>
          <w:color w:val="000000" w:themeColor="text1"/>
        </w:rPr>
        <w:t xml:space="preserve"> day of May, 2021. </w:t>
      </w:r>
    </w:p>
    <w:p w:rsidR="00EC2DBA" w:rsidRDefault="00EC2DBA" w:rsidP="00EC2DBA">
      <w:pPr>
        <w:jc w:val="center"/>
        <w:rPr>
          <w:color w:val="000000" w:themeColor="text1"/>
        </w:rPr>
      </w:pPr>
    </w:p>
    <w:p w:rsidR="00EC2DBA" w:rsidRDefault="00EC2DBA" w:rsidP="00EC2DBA">
      <w:pPr>
        <w:jc w:val="center"/>
        <w:rPr>
          <w:color w:val="000000" w:themeColor="text1"/>
        </w:rPr>
      </w:pPr>
      <w:r>
        <w:rPr>
          <w:color w:val="000000" w:themeColor="text1"/>
        </w:rPr>
        <w:t>__________</w:t>
      </w:r>
    </w:p>
    <w:p w:rsidR="00830598" w:rsidRPr="00C92A41" w:rsidRDefault="00830598" w:rsidP="00E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30598" w:rsidRPr="00C92A41" w:rsidSect="00830598">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AF" w:rsidRDefault="001659AF" w:rsidP="007D5FAC">
      <w:r>
        <w:separator/>
      </w:r>
    </w:p>
  </w:endnote>
  <w:endnote w:type="continuationSeparator" w:id="0">
    <w:p w:rsidR="001659AF" w:rsidRDefault="001659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98" w:rsidRPr="00830598" w:rsidRDefault="00830598" w:rsidP="0083059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C2DB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98" w:rsidRDefault="0083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AF" w:rsidRDefault="001659AF" w:rsidP="007D5FAC">
      <w:r>
        <w:separator/>
      </w:r>
    </w:p>
  </w:footnote>
  <w:footnote w:type="continuationSeparator" w:id="0">
    <w:p w:rsidR="001659AF" w:rsidRDefault="001659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27"/>
    <w:docVar w:name="ActSecretary" w:val="Downey"/>
    <w:docVar w:name="ActSIdno" w:val="(91)  527DG21"/>
    <w:docVar w:name="clipname" w:val="527DG21"/>
    <w:docVar w:name="dvBillNumber" w:val="527"/>
    <w:docVar w:name="dvBillNumberPrefix" w:val="S"/>
    <w:docVar w:name="dvOriginalBody" w:val="Senate"/>
    <w:docVar w:name="OrigSENATEBillNo" w:val="527"/>
    <w:docVar w:name="SENATEACTFULLPATH" w:val="L:\COUNCIL\ACTS\527DG21.DOCX"/>
    <w:docVar w:name="WhatActtype" w:val="AN ACT"/>
  </w:docVars>
  <w:rsids>
    <w:rsidRoot w:val="001659AF"/>
    <w:rsid w:val="00002DE0"/>
    <w:rsid w:val="00017F29"/>
    <w:rsid w:val="00020349"/>
    <w:rsid w:val="00021B0B"/>
    <w:rsid w:val="00030487"/>
    <w:rsid w:val="00040C05"/>
    <w:rsid w:val="000413B2"/>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61D2"/>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59AF"/>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77A6"/>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5DBB"/>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974"/>
    <w:rsid w:val="00445A20"/>
    <w:rsid w:val="00447C2D"/>
    <w:rsid w:val="00451B9A"/>
    <w:rsid w:val="0045270B"/>
    <w:rsid w:val="004666F5"/>
    <w:rsid w:val="00472A5B"/>
    <w:rsid w:val="004760FD"/>
    <w:rsid w:val="00481E5B"/>
    <w:rsid w:val="00484768"/>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676E1"/>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406"/>
    <w:rsid w:val="006F0806"/>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078F"/>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5390"/>
    <w:rsid w:val="00830598"/>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C44A0"/>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C7114"/>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A41"/>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38F3"/>
    <w:rsid w:val="00DE4F89"/>
    <w:rsid w:val="00DE6017"/>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2DBA"/>
    <w:rsid w:val="00EC432E"/>
    <w:rsid w:val="00EC47CE"/>
    <w:rsid w:val="00EC6AE8"/>
    <w:rsid w:val="00ED4871"/>
    <w:rsid w:val="00ED620C"/>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22D9"/>
    <w:rsid w:val="00FA7E14"/>
    <w:rsid w:val="00FB1A6A"/>
    <w:rsid w:val="00FB471B"/>
    <w:rsid w:val="00FC380D"/>
    <w:rsid w:val="00FD6DC2"/>
    <w:rsid w:val="00FD7AFA"/>
    <w:rsid w:val="00FE15B8"/>
    <w:rsid w:val="00FE15CC"/>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48592E6-F9E4-478C-8986-3A83C987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305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41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3B2"/>
    <w:rPr>
      <w:rFonts w:ascii="Segoe UI" w:hAnsi="Segoe UI" w:cs="Segoe UI"/>
      <w:sz w:val="18"/>
      <w:szCs w:val="18"/>
    </w:rPr>
  </w:style>
  <w:style w:type="table" w:styleId="TableGrid">
    <w:name w:val="Table Grid"/>
    <w:basedOn w:val="TableNormal"/>
    <w:uiPriority w:val="59"/>
    <w:rsid w:val="0044297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3059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E3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7.docx" TargetMode="External"/><Relationship Id="rId13" Type="http://schemas.openxmlformats.org/officeDocument/2006/relationships/hyperlink" Target="file:///h:\sj\20210406.docx" TargetMode="External"/><Relationship Id="rId18" Type="http://schemas.openxmlformats.org/officeDocument/2006/relationships/hyperlink" Target="file:///h:\hj\20210511.docx" TargetMode="External"/><Relationship Id="rId26" Type="http://schemas.openxmlformats.org/officeDocument/2006/relationships/hyperlink" Target="file:///p:\pprever\2021-22\527_20210504.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527&amp;session=124&amp;summary=B" TargetMode="External"/><Relationship Id="rId7" Type="http://schemas.openxmlformats.org/officeDocument/2006/relationships/hyperlink" Target="file:///h:\sj\20210204.docx" TargetMode="External"/><Relationship Id="rId12" Type="http://schemas.openxmlformats.org/officeDocument/2006/relationships/hyperlink" Target="file:///h:\sj\20210406.docx" TargetMode="External"/><Relationship Id="rId17" Type="http://schemas.openxmlformats.org/officeDocument/2006/relationships/hyperlink" Target="file:///h:\hj\20210506.docx" TargetMode="External"/><Relationship Id="rId25" Type="http://schemas.openxmlformats.org/officeDocument/2006/relationships/hyperlink" Target="file:///p:\pprever\2021-22\527_20210406.docx" TargetMode="External"/><Relationship Id="rId2" Type="http://schemas.openxmlformats.org/officeDocument/2006/relationships/settings" Target="settings.xml"/><Relationship Id="rId16" Type="http://schemas.openxmlformats.org/officeDocument/2006/relationships/hyperlink" Target="file:///h:\hj\20210504.docx" TargetMode="External"/><Relationship Id="rId20" Type="http://schemas.openxmlformats.org/officeDocument/2006/relationships/hyperlink" Target="file:///h:\hj\20210512.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10204.docx" TargetMode="External"/><Relationship Id="rId11" Type="http://schemas.openxmlformats.org/officeDocument/2006/relationships/hyperlink" Target="file:///h:\sj\20210406.docx" TargetMode="External"/><Relationship Id="rId24" Type="http://schemas.openxmlformats.org/officeDocument/2006/relationships/hyperlink" Target="file:///p:\pprever\2021-22\527_20210324.docx" TargetMode="External"/><Relationship Id="rId5" Type="http://schemas.openxmlformats.org/officeDocument/2006/relationships/endnotes" Target="endnotes.xml"/><Relationship Id="rId15" Type="http://schemas.openxmlformats.org/officeDocument/2006/relationships/hyperlink" Target="file:///h:\hj\20210407.docx" TargetMode="External"/><Relationship Id="rId23" Type="http://schemas.openxmlformats.org/officeDocument/2006/relationships/hyperlink" Target="file:///p:\pprever\2021-22\527_20210317.docx" TargetMode="External"/><Relationship Id="rId28" Type="http://schemas.openxmlformats.org/officeDocument/2006/relationships/footer" Target="footer1.xml"/><Relationship Id="rId10" Type="http://schemas.openxmlformats.org/officeDocument/2006/relationships/hyperlink" Target="file:///h:\sj\20210323.docx" TargetMode="External"/><Relationship Id="rId19" Type="http://schemas.openxmlformats.org/officeDocument/2006/relationships/hyperlink" Target="file:///h:\hj\20210511.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210323.docx" TargetMode="External"/><Relationship Id="rId14" Type="http://schemas.openxmlformats.org/officeDocument/2006/relationships/hyperlink" Target="file:///h:\hj\20210407.docx" TargetMode="External"/><Relationship Id="rId22" Type="http://schemas.openxmlformats.org/officeDocument/2006/relationships/hyperlink" Target="file:///p:\pprever\2021-22\527_20210204.docx" TargetMode="External"/><Relationship Id="rId27" Type="http://schemas.openxmlformats.org/officeDocument/2006/relationships/hyperlink" Target="file:///p:\pprever\2021-22\527_2021050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5997</Characters>
  <Application>Microsoft Office Word</Application>
  <DocSecurity>0</DocSecurity>
  <Lines>149</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527: Legally separated - South Carolina Legislature Online</dc:title>
  <dc:subject/>
  <dc:creator>Niki Downey</dc:creator>
  <cp:keywords/>
  <dc:description/>
  <cp:lastModifiedBy>Danny Crook</cp:lastModifiedBy>
  <cp:revision>2</cp:revision>
  <cp:lastPrinted>2021-05-12T15:44:00Z</cp:lastPrinted>
  <dcterms:created xsi:type="dcterms:W3CDTF">2021-06-14T13:09:00Z</dcterms:created>
  <dcterms:modified xsi:type="dcterms:W3CDTF">2021-06-14T13:09:00Z</dcterms:modified>
</cp:coreProperties>
</file>