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SR-0613KM24.docx</w:t>
      </w:r>
    </w:p>
    <w:p>
      <w:pPr>
        <w:widowControl w:val="false"/>
        <w:spacing w:after="0"/>
        <w:jc w:val="left"/>
      </w:pPr>
    </w:p>
    <w:p>
      <w:pPr>
        <w:widowControl w:val="false"/>
        <w:spacing w:after="0"/>
        <w:jc w:val="left"/>
      </w:pPr>
      <w:r>
        <w:rPr>
          <w:rFonts w:ascii="Times New Roman"/>
          <w:sz w:val="22"/>
        </w:rPr>
        <w:t xml:space="preserve">Introduced in the Senate on March 6,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Senate</w:t>
      </w:r>
      <w:r>
        <w:tab/>
        <w:t xml:space="preserve">Introduced and read first time</w:t>
      </w:r>
      <w:r>
        <w:t xml:space="preserve"> (</w:t>
      </w:r>
      <w:hyperlink w:history="true" r:id="Rc9fea17c069d4bb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3/6/2024</w:t>
      </w:r>
      <w:r>
        <w:tab/>
        <w:t>Senate</w:t>
      </w:r>
      <w:r>
        <w:tab/>
        <w:t xml:space="preserve">Referred to Committee on</w:t>
      </w:r>
      <w:r>
        <w:rPr>
          <w:b/>
        </w:rPr>
        <w:t xml:space="preserve"> Finance</w:t>
      </w:r>
      <w:r>
        <w:t xml:space="preserve"> (</w:t>
      </w:r>
      <w:hyperlink w:history="true" r:id="R75685cec6bf3405b">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2c52251f0d49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312eee81cf4eb6">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71779" w14:paraId="40FEFADA" w14:textId="04C60AB2">
          <w:pPr>
            <w:pStyle w:val="scbilltitle"/>
          </w:pPr>
          <w:r>
            <w:t xml:space="preserve">TO AMEND THE SOUTH CAROLINA CODE OF LAWS BY AMENDING SECTION 12‑43‑220, RELATING TO PROPERTY TAX </w:t>
          </w:r>
          <w:r w:rsidR="006A3176">
            <w:t>CLASSIFICATIONS,</w:t>
          </w:r>
          <w:r>
            <w:t xml:space="preserve"> SO AS TO DEFINE OWNER‑OCCUPANT FOR THE PURPOSES OF THE LEGAL RESIDENCE TAX EXEMPTION; AND BY AMENDING SECTION 12‑37‑250, RELATING TO HOMESTEAD EXEMPTION FOR TAXPAYERS SIXTY‑FIVE AND OVER OR THOSE TOTALLY AND PERMANENTLY DISABLED OR LEGALLY BLIND, SO AS TO DEFINE ELIGIBLE OWNER FOR PURPOSES OF THE HOMESTEAD EXEMPTION.</w:t>
          </w:r>
        </w:p>
      </w:sdtContent>
    </w:sdt>
    <w:bookmarkStart w:name="at_2b3f2710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2519f5b8" w:id="1"/>
      <w:r w:rsidRPr="0094541D">
        <w:t>B</w:t>
      </w:r>
      <w:bookmarkEnd w:id="1"/>
      <w:r w:rsidRPr="0094541D">
        <w:t>e it enacted by the General Assembly of the State of South Carolina:</w:t>
      </w:r>
    </w:p>
    <w:p w:rsidR="009E324E" w:rsidP="009E324E" w:rsidRDefault="009E324E" w14:paraId="53D2A76C" w14:textId="77777777">
      <w:pPr>
        <w:pStyle w:val="scemptyline"/>
      </w:pPr>
    </w:p>
    <w:p w:rsidR="009E324E" w:rsidP="009E324E" w:rsidRDefault="009E324E" w14:paraId="3F554B16" w14:textId="10C75C01">
      <w:pPr>
        <w:pStyle w:val="scdirectionallanguage"/>
      </w:pPr>
      <w:bookmarkStart w:name="bs_num_1_a45fbf005" w:id="2"/>
      <w:r>
        <w:t>S</w:t>
      </w:r>
      <w:bookmarkEnd w:id="2"/>
      <w:r>
        <w:t>ECTION 1.</w:t>
      </w:r>
      <w:r>
        <w:tab/>
      </w:r>
      <w:bookmarkStart w:name="dl_a94126eb2" w:id="3"/>
      <w:r>
        <w:t>S</w:t>
      </w:r>
      <w:bookmarkEnd w:id="3"/>
      <w:r>
        <w:t>ection 12‑43‑220(c)</w:t>
      </w:r>
      <w:r w:rsidR="00073E60">
        <w:t>(iv)</w:t>
      </w:r>
      <w:r>
        <w:t xml:space="preserve"> of the S.C. Code is amended to read:</w:t>
      </w:r>
    </w:p>
    <w:p w:rsidR="009E324E" w:rsidP="009E324E" w:rsidRDefault="009E324E" w14:paraId="7E4C209F" w14:textId="77777777">
      <w:pPr>
        <w:pStyle w:val="scemptyline"/>
      </w:pPr>
    </w:p>
    <w:p w:rsidR="009E324E" w:rsidP="009E324E" w:rsidRDefault="009E324E" w14:paraId="22C61AC7" w14:textId="562F98B7">
      <w:pPr>
        <w:pStyle w:val="sccodifiedsection"/>
      </w:pPr>
      <w:bookmarkStart w:name="cs_T12C43N220_389b9d953" w:id="4"/>
      <w:r>
        <w:tab/>
      </w:r>
      <w:bookmarkStart w:name="ss_T12C43N220Siv_lv1_0a17eb34d" w:id="5"/>
      <w:bookmarkEnd w:id="4"/>
      <w:r>
        <w:t>(</w:t>
      </w:r>
      <w:bookmarkEnd w:id="5"/>
      <w:r>
        <w:t>iv) In addition to the certification, the burden of proof for eligibility for the four percent assessment ratio is on the owner‑occupant and the applicant must provide proof the assessor requires including, but not limited to:</w:t>
      </w:r>
    </w:p>
    <w:p w:rsidR="009E324E" w:rsidP="009E324E" w:rsidRDefault="009E324E" w14:paraId="407E3690" w14:textId="77777777">
      <w:pPr>
        <w:pStyle w:val="sccodifiedsection"/>
      </w:pPr>
      <w:r>
        <w:tab/>
      </w:r>
      <w:r>
        <w:tab/>
      </w:r>
      <w:r>
        <w:tab/>
      </w:r>
      <w:r>
        <w:tab/>
      </w:r>
      <w:bookmarkStart w:name="ss_T12C43N220SA_lv2_e5baad024" w:id="6"/>
      <w:r>
        <w:t>(</w:t>
      </w:r>
      <w:bookmarkEnd w:id="6"/>
      <w:r>
        <w:t>A) a copy of the owner‑occupant's most recently filed South Carolina individual income tax return;</w:t>
      </w:r>
    </w:p>
    <w:p w:rsidR="009E324E" w:rsidP="009E324E" w:rsidRDefault="009E324E" w14:paraId="2DDF05D7" w14:textId="77777777">
      <w:pPr>
        <w:pStyle w:val="sccodifiedsection"/>
      </w:pPr>
      <w:r>
        <w:tab/>
      </w:r>
      <w:r>
        <w:tab/>
      </w:r>
      <w:r>
        <w:tab/>
      </w:r>
      <w:r>
        <w:tab/>
      </w:r>
      <w:bookmarkStart w:name="ss_T12C43N220SB_lv2_89ad439c2" w:id="7"/>
      <w:r>
        <w:t>(</w:t>
      </w:r>
      <w:bookmarkEnd w:id="7"/>
      <w:r>
        <w:t>B) copies of South Carolina motor vehicle registrations for all motor vehicles registered in the name of the owner‑occupant and registered at the same address of the four percent domicile;</w:t>
      </w:r>
    </w:p>
    <w:p w:rsidR="00073E60" w:rsidP="009E324E" w:rsidRDefault="00073E60" w14:paraId="0BE35677" w14:textId="4183352C">
      <w:pPr>
        <w:pStyle w:val="sccodifiedsection"/>
      </w:pPr>
      <w:r>
        <w:rPr>
          <w:rStyle w:val="scinsert"/>
        </w:rPr>
        <w:tab/>
      </w:r>
      <w:r>
        <w:rPr>
          <w:rStyle w:val="scinsert"/>
        </w:rPr>
        <w:tab/>
      </w:r>
      <w:r>
        <w:rPr>
          <w:rStyle w:val="scinsert"/>
        </w:rPr>
        <w:tab/>
      </w:r>
      <w:r>
        <w:rPr>
          <w:rStyle w:val="scinsert"/>
        </w:rPr>
        <w:tab/>
      </w:r>
      <w:bookmarkStart w:name="ss_T12C43N220SC_lv2_10ced669d" w:id="8"/>
      <w:r>
        <w:rPr>
          <w:rStyle w:val="scinsert"/>
        </w:rPr>
        <w:t>(</w:t>
      </w:r>
      <w:bookmarkEnd w:id="8"/>
      <w:r>
        <w:rPr>
          <w:rStyle w:val="scinsert"/>
        </w:rPr>
        <w:t>C) a certified copy of a permanent resident card or proof of application for purposes of a non‑naturalized United States citizen;</w:t>
      </w:r>
    </w:p>
    <w:p w:rsidR="009E324E" w:rsidP="009E324E" w:rsidRDefault="009E324E" w14:paraId="10D0F05D" w14:textId="5A373335">
      <w:pPr>
        <w:pStyle w:val="sccodifiedsection"/>
      </w:pPr>
      <w:r>
        <w:tab/>
      </w:r>
      <w:r>
        <w:tab/>
      </w:r>
      <w:r>
        <w:tab/>
      </w:r>
      <w:r>
        <w:tab/>
      </w:r>
      <w:r>
        <w:rPr>
          <w:rStyle w:val="scstrike"/>
        </w:rPr>
        <w:t>(C)</w:t>
      </w:r>
      <w:bookmarkStart w:name="ss_T12C43N220SD_lv2_30fb031d0" w:id="9"/>
      <w:r w:rsidR="00073E60">
        <w:rPr>
          <w:rStyle w:val="scinsert"/>
        </w:rPr>
        <w:t>(</w:t>
      </w:r>
      <w:bookmarkEnd w:id="9"/>
      <w:r w:rsidR="00073E60">
        <w:rPr>
          <w:rStyle w:val="scinsert"/>
        </w:rPr>
        <w:t>D)</w:t>
      </w:r>
      <w:r>
        <w:t xml:space="preserve"> other proof required by the assessor necessary to determine eligibility for the assessment ratio allowed by this item.</w:t>
      </w:r>
    </w:p>
    <w:p w:rsidR="009E324E" w:rsidP="009E324E" w:rsidRDefault="009E324E" w14:paraId="593135AE" w14:textId="77777777">
      <w:pPr>
        <w:pStyle w:val="sccodifiedsection"/>
      </w:pPr>
      <w:r>
        <w:tab/>
      </w:r>
      <w:r>
        <w:tab/>
      </w:r>
      <w:r>
        <w:tab/>
      </w:r>
      <w:r>
        <w:tab/>
      </w:r>
      <w:bookmarkStart w:name="up_166a2f90b" w:id="10"/>
      <w:r>
        <w:t>I</w:t>
      </w:r>
      <w:bookmarkEnd w:id="10"/>
      <w:r>
        <w:t>f the owner or the owner's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seventy‑two days in a calendar year. For purposes of determining eligibility, rental income, and residency, the assessor annually may require a copy of applicable portions of the owner's federal and state tax returns, as well as the Schedule E from the applicant's federal return for the applicable tax year.</w:t>
      </w:r>
    </w:p>
    <w:p w:rsidR="009E324E" w:rsidP="009E324E" w:rsidRDefault="009E324E" w14:paraId="268ED59C" w14:textId="77777777">
      <w:pPr>
        <w:pStyle w:val="sccodifiedsection"/>
      </w:pPr>
      <w:r>
        <w:tab/>
      </w:r>
      <w:r>
        <w:tab/>
      </w:r>
      <w:r>
        <w:tab/>
      </w:r>
      <w:r>
        <w:tab/>
      </w:r>
      <w:bookmarkStart w:name="up_818095493" w:id="11"/>
      <w:r>
        <w:t>I</w:t>
      </w:r>
      <w:bookmarkEnd w:id="11"/>
      <w:r>
        <w:t xml:space="preserve">f the assessor determines the owner‑occupant ineligible, the six percent property tax </w:t>
      </w:r>
      <w:r>
        <w:lastRenderedPageBreak/>
        <w:t>assessment ratio applies and the owner‑occupant may appeal the classification as provided in Chapter 60 of this title.</w:t>
      </w:r>
    </w:p>
    <w:p w:rsidR="008F16B1" w:rsidP="008F16B1" w:rsidRDefault="008F16B1" w14:paraId="28DEBD9F" w14:textId="77777777">
      <w:pPr>
        <w:pStyle w:val="scemptyline"/>
      </w:pPr>
    </w:p>
    <w:p w:rsidR="008F16B1" w:rsidP="008F16B1" w:rsidRDefault="008F16B1" w14:paraId="230608C7" w14:textId="63921BB8">
      <w:pPr>
        <w:pStyle w:val="scdirectionallanguage"/>
      </w:pPr>
      <w:bookmarkStart w:name="bs_num_2_2f5868a6e" w:id="12"/>
      <w:r>
        <w:t>S</w:t>
      </w:r>
      <w:bookmarkEnd w:id="12"/>
      <w:r>
        <w:t>ECTION 2.</w:t>
      </w:r>
      <w:r>
        <w:tab/>
      </w:r>
      <w:bookmarkStart w:name="dl_37e472788" w:id="13"/>
      <w:r>
        <w:t>S</w:t>
      </w:r>
      <w:bookmarkEnd w:id="13"/>
      <w:r>
        <w:t>ection 12‑37‑250(A)</w:t>
      </w:r>
      <w:r w:rsidR="00271779">
        <w:t>(4)</w:t>
      </w:r>
      <w:r>
        <w:t xml:space="preserve"> of the S.C. Code is amended to read:</w:t>
      </w:r>
    </w:p>
    <w:p w:rsidR="008F16B1" w:rsidP="008F16B1" w:rsidRDefault="008F16B1" w14:paraId="36CDBB6B" w14:textId="77777777">
      <w:pPr>
        <w:pStyle w:val="scemptyline"/>
      </w:pPr>
    </w:p>
    <w:p w:rsidR="008F16B1" w:rsidP="00271779" w:rsidRDefault="008F16B1" w14:paraId="5CFB2795" w14:textId="0DA350EF">
      <w:pPr>
        <w:pStyle w:val="sccodifiedsection"/>
      </w:pPr>
      <w:bookmarkStart w:name="cs_T12C37N250_26c744c2c" w:id="14"/>
      <w:r>
        <w:tab/>
      </w:r>
      <w:bookmarkStart w:name="ss_T12C37N250S4_lv1_4267db214" w:id="15"/>
      <w:bookmarkEnd w:id="14"/>
      <w:r>
        <w:t>(</w:t>
      </w:r>
      <w:bookmarkEnd w:id="15"/>
      <w:r>
        <w:t>4)</w:t>
      </w:r>
      <w:bookmarkStart w:name="ss_T12C37N250Sa_lv2_5f5ed053f" w:id="16"/>
      <w:r>
        <w:t>(</w:t>
      </w:r>
      <w:bookmarkEnd w:id="16"/>
      <w:r>
        <w:t>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271779" w:rsidP="00271779" w:rsidRDefault="00271779" w14:paraId="542F1D9F" w14:textId="6B275C99">
      <w:pPr>
        <w:pStyle w:val="sccodifiedsection"/>
      </w:pPr>
      <w:r>
        <w:rPr>
          <w:rStyle w:val="scinsert"/>
        </w:rPr>
        <w:tab/>
      </w:r>
      <w:r>
        <w:rPr>
          <w:rStyle w:val="scinsert"/>
        </w:rPr>
        <w:tab/>
      </w:r>
      <w:r>
        <w:rPr>
          <w:rStyle w:val="scinsert"/>
        </w:rPr>
        <w:tab/>
      </w:r>
      <w:bookmarkStart w:name="ss_T12C37N250Sb_lv2_60f5c05d8" w:id="17"/>
      <w:r>
        <w:rPr>
          <w:rStyle w:val="scinsert"/>
        </w:rPr>
        <w:t>(</w:t>
      </w:r>
      <w:bookmarkEnd w:id="17"/>
      <w:r>
        <w:rPr>
          <w:rStyle w:val="scinsert"/>
        </w:rPr>
        <w:t xml:space="preserve">b) A qualifying applicant must currently meet the requirements set forth in Section 12‑43‑220(c) and </w:t>
      </w:r>
      <w:r w:rsidR="006A3176">
        <w:rPr>
          <w:rStyle w:val="scinsert"/>
        </w:rPr>
        <w:t xml:space="preserve">must </w:t>
      </w:r>
      <w:r>
        <w:rPr>
          <w:rStyle w:val="scinsert"/>
        </w:rPr>
        <w:t>be receiving the exemption provided therein.</w:t>
      </w:r>
    </w:p>
    <w:p w:rsidR="008F16B1" w:rsidP="008F16B1" w:rsidRDefault="008F16B1" w14:paraId="39BA44B1" w14:textId="4952116C">
      <w:pPr>
        <w:pStyle w:val="sccodifiedsection"/>
      </w:pPr>
      <w:r>
        <w:tab/>
      </w:r>
      <w:r>
        <w:tab/>
      </w:r>
      <w:r>
        <w:tab/>
      </w:r>
      <w:r>
        <w:rPr>
          <w:rStyle w:val="scstrike"/>
        </w:rPr>
        <w:t>(b)</w:t>
      </w:r>
      <w:bookmarkStart w:name="ss_T12C37N250Sc_lv2_9c2c2a17e" w:id="18"/>
      <w:r w:rsidR="00271779">
        <w:rPr>
          <w:rStyle w:val="scinsert"/>
        </w:rPr>
        <w:t>(</w:t>
      </w:r>
      <w:bookmarkEnd w:id="18"/>
      <w:r w:rsidR="00271779">
        <w:rPr>
          <w:rStyle w:val="scinsert"/>
        </w:rPr>
        <w:t>c)</w:t>
      </w:r>
      <w:r>
        <w:t xml:space="preserve"> The application required may be:</w:t>
      </w:r>
    </w:p>
    <w:p w:rsidR="008F16B1" w:rsidP="008F16B1" w:rsidRDefault="008F16B1" w14:paraId="636CC240" w14:textId="00706C2F">
      <w:pPr>
        <w:pStyle w:val="sccodifiedsection"/>
      </w:pPr>
      <w:r>
        <w:tab/>
      </w:r>
      <w:r>
        <w:tab/>
      </w:r>
      <w:r>
        <w:tab/>
      </w:r>
      <w:r>
        <w:tab/>
      </w:r>
      <w:bookmarkStart w:name="ss_T12C37N250Si_lv3_971aa3869" w:id="19"/>
      <w:r>
        <w:t>(</w:t>
      </w:r>
      <w:bookmarkEnd w:id="19"/>
      <w:r>
        <w:t>i) made in person at the auditor</w:t>
      </w:r>
      <w:r>
        <w:rPr>
          <w:rStyle w:val="scstrike"/>
        </w:rPr>
        <w:t>'</w:t>
      </w:r>
      <w:r w:rsidR="00271779">
        <w:rPr>
          <w:rStyle w:val="scinsert"/>
        </w:rPr>
        <w:t>’</w:t>
      </w:r>
      <w:r>
        <w:t>s office;</w:t>
      </w:r>
    </w:p>
    <w:p w:rsidR="008F16B1" w:rsidP="008F16B1" w:rsidRDefault="008F16B1" w14:paraId="61DD948B" w14:textId="77777777">
      <w:pPr>
        <w:pStyle w:val="sccodifiedsection"/>
      </w:pPr>
      <w:r>
        <w:tab/>
      </w:r>
      <w:r>
        <w:tab/>
      </w:r>
      <w:r>
        <w:tab/>
      </w:r>
      <w:r>
        <w:tab/>
      </w:r>
      <w:bookmarkStart w:name="ss_T12C37N250Sii_lv3_3a05683e3" w:id="20"/>
      <w:r>
        <w:t>(</w:t>
      </w:r>
      <w:bookmarkEnd w:id="20"/>
      <w:r>
        <w:t>ii) by mail, when accompanied by a copy of documentation of age, or disability, or legal blindness;  or</w:t>
      </w:r>
    </w:p>
    <w:p w:rsidR="008F16B1" w:rsidP="008F16B1" w:rsidRDefault="008F16B1" w14:paraId="4F27E1C2" w14:textId="77777777">
      <w:pPr>
        <w:pStyle w:val="sccodifiedsection"/>
      </w:pPr>
      <w:r>
        <w:tab/>
      </w:r>
      <w:r>
        <w:tab/>
      </w:r>
      <w:r>
        <w:tab/>
      </w:r>
      <w:r>
        <w:tab/>
      </w:r>
      <w:bookmarkStart w:name="ss_T12C37N250Siii_lv3_b66c6a166" w:id="21"/>
      <w:r>
        <w:t>(</w:t>
      </w:r>
      <w:bookmarkEnd w:id="21"/>
      <w:r>
        <w:t>iii) by internet in those instances where the auditor has access to official records documenting the appropriate eligibility standard.</w:t>
      </w:r>
    </w:p>
    <w:p w:rsidR="007E06BB" w:rsidP="00271779" w:rsidRDefault="008F16B1" w14:paraId="3D8F1FED" w14:textId="3CF1810E">
      <w:pPr>
        <w:pStyle w:val="sccodifiedsection"/>
      </w:pPr>
      <w:r>
        <w:tab/>
      </w:r>
      <w:r>
        <w:tab/>
      </w:r>
      <w:r>
        <w:tab/>
      </w:r>
      <w:bookmarkStart w:name="up_895cd6e41" w:id="22"/>
      <w:r>
        <w:t>T</w:t>
      </w:r>
      <w:bookmarkEnd w:id="22"/>
      <w:r>
        <w:t>he department shall assist auditors with compliance with the provisions of this subitem and by means of the approval required pursuant to subitem (a) of this item ensure uniform application procedures.</w:t>
      </w:r>
    </w:p>
    <w:p w:rsidRPr="00DF3B44" w:rsidR="00271779" w:rsidP="00271779" w:rsidRDefault="00271779" w14:paraId="3477714F" w14:textId="77777777">
      <w:pPr>
        <w:pStyle w:val="sccodifiedsection"/>
      </w:pPr>
    </w:p>
    <w:p w:rsidRPr="00DF3B44" w:rsidR="007A10F1" w:rsidP="007A10F1" w:rsidRDefault="00E27805" w14:paraId="0E9393B4" w14:textId="3A662836">
      <w:pPr>
        <w:pStyle w:val="scnoncodifiedsection"/>
      </w:pPr>
      <w:bookmarkStart w:name="bs_num_3_lastsection" w:id="23"/>
      <w:bookmarkStart w:name="eff_date_section" w:id="24"/>
      <w:r w:rsidRPr="00DF3B44">
        <w:t>S</w:t>
      </w:r>
      <w:bookmarkEnd w:id="23"/>
      <w:r w:rsidRPr="00DF3B44">
        <w:t>ECTION 3.</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03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2A91012" w:rsidR="00685035" w:rsidRPr="007B4AF7" w:rsidRDefault="001075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324E">
              <w:rPr>
                <w:noProof/>
              </w:rPr>
              <w:t>SR-0613KM24.docx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E60"/>
    <w:rsid w:val="00074A4F"/>
    <w:rsid w:val="00076FA2"/>
    <w:rsid w:val="00077B65"/>
    <w:rsid w:val="000A3C25"/>
    <w:rsid w:val="000B4C02"/>
    <w:rsid w:val="000B5B4A"/>
    <w:rsid w:val="000B7FE1"/>
    <w:rsid w:val="000C3E88"/>
    <w:rsid w:val="000C46B9"/>
    <w:rsid w:val="000C588F"/>
    <w:rsid w:val="000C58E4"/>
    <w:rsid w:val="000C6F9A"/>
    <w:rsid w:val="000D2F44"/>
    <w:rsid w:val="000D33E4"/>
    <w:rsid w:val="000E578A"/>
    <w:rsid w:val="000F2250"/>
    <w:rsid w:val="0010329A"/>
    <w:rsid w:val="00105756"/>
    <w:rsid w:val="001164F9"/>
    <w:rsid w:val="0011719C"/>
    <w:rsid w:val="00140049"/>
    <w:rsid w:val="00143A6B"/>
    <w:rsid w:val="00171601"/>
    <w:rsid w:val="001730EB"/>
    <w:rsid w:val="00173276"/>
    <w:rsid w:val="0019025B"/>
    <w:rsid w:val="00192AF7"/>
    <w:rsid w:val="00197366"/>
    <w:rsid w:val="001A136C"/>
    <w:rsid w:val="001A52DB"/>
    <w:rsid w:val="001B6DA2"/>
    <w:rsid w:val="001C25EC"/>
    <w:rsid w:val="001F2A41"/>
    <w:rsid w:val="001F313F"/>
    <w:rsid w:val="001F331D"/>
    <w:rsid w:val="001F394C"/>
    <w:rsid w:val="002038AA"/>
    <w:rsid w:val="002114C8"/>
    <w:rsid w:val="0021166F"/>
    <w:rsid w:val="002162DF"/>
    <w:rsid w:val="00230038"/>
    <w:rsid w:val="00233975"/>
    <w:rsid w:val="00236D73"/>
    <w:rsid w:val="00237D16"/>
    <w:rsid w:val="00257F60"/>
    <w:rsid w:val="002625EA"/>
    <w:rsid w:val="00262AC5"/>
    <w:rsid w:val="00264AE9"/>
    <w:rsid w:val="00271779"/>
    <w:rsid w:val="00275AE6"/>
    <w:rsid w:val="002836D8"/>
    <w:rsid w:val="0028628D"/>
    <w:rsid w:val="002A7989"/>
    <w:rsid w:val="002B02F3"/>
    <w:rsid w:val="002C3463"/>
    <w:rsid w:val="002D266D"/>
    <w:rsid w:val="002D5B3D"/>
    <w:rsid w:val="002D7447"/>
    <w:rsid w:val="002E315A"/>
    <w:rsid w:val="002E4F8C"/>
    <w:rsid w:val="002F560C"/>
    <w:rsid w:val="002F5847"/>
    <w:rsid w:val="0030425A"/>
    <w:rsid w:val="003059E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58E7"/>
    <w:rsid w:val="005102BE"/>
    <w:rsid w:val="00523F7F"/>
    <w:rsid w:val="00524D54"/>
    <w:rsid w:val="0054531B"/>
    <w:rsid w:val="00546C24"/>
    <w:rsid w:val="005476FF"/>
    <w:rsid w:val="00547BCA"/>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176"/>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15C8"/>
    <w:rsid w:val="008625C1"/>
    <w:rsid w:val="0087671D"/>
    <w:rsid w:val="008806F9"/>
    <w:rsid w:val="00887957"/>
    <w:rsid w:val="008A57E3"/>
    <w:rsid w:val="008B5BF4"/>
    <w:rsid w:val="008C0CEE"/>
    <w:rsid w:val="008C1B18"/>
    <w:rsid w:val="008D46EC"/>
    <w:rsid w:val="008E0E25"/>
    <w:rsid w:val="008E61A1"/>
    <w:rsid w:val="008F16B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F44"/>
    <w:rsid w:val="00991F67"/>
    <w:rsid w:val="00992876"/>
    <w:rsid w:val="009A0DCE"/>
    <w:rsid w:val="009A22CD"/>
    <w:rsid w:val="009A3E4B"/>
    <w:rsid w:val="009B35FD"/>
    <w:rsid w:val="009B6815"/>
    <w:rsid w:val="009D2967"/>
    <w:rsid w:val="009D3C2B"/>
    <w:rsid w:val="009E324E"/>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2EF3"/>
    <w:rsid w:val="00AD3BE2"/>
    <w:rsid w:val="00AD3E3D"/>
    <w:rsid w:val="00AE1EE4"/>
    <w:rsid w:val="00AE36EC"/>
    <w:rsid w:val="00AE7406"/>
    <w:rsid w:val="00AF1688"/>
    <w:rsid w:val="00AF46E6"/>
    <w:rsid w:val="00AF5139"/>
    <w:rsid w:val="00B00390"/>
    <w:rsid w:val="00B06EDA"/>
    <w:rsid w:val="00B1161F"/>
    <w:rsid w:val="00B11661"/>
    <w:rsid w:val="00B32B4D"/>
    <w:rsid w:val="00B4137E"/>
    <w:rsid w:val="00B54DF7"/>
    <w:rsid w:val="00B56223"/>
    <w:rsid w:val="00B56E79"/>
    <w:rsid w:val="00B57AA7"/>
    <w:rsid w:val="00B637AA"/>
    <w:rsid w:val="00B63BE2"/>
    <w:rsid w:val="00B66E5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2DC"/>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065D"/>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7DE2"/>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A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3A6B"/>
    <w:rPr>
      <w:rFonts w:ascii="Times New Roman" w:hAnsi="Times New Roman"/>
      <w:b w:val="0"/>
      <w:i w:val="0"/>
      <w:sz w:val="22"/>
    </w:rPr>
  </w:style>
  <w:style w:type="paragraph" w:styleId="NoSpacing">
    <w:name w:val="No Spacing"/>
    <w:uiPriority w:val="1"/>
    <w:qFormat/>
    <w:rsid w:val="00143A6B"/>
    <w:pPr>
      <w:spacing w:after="0" w:line="240" w:lineRule="auto"/>
    </w:pPr>
  </w:style>
  <w:style w:type="paragraph" w:customStyle="1" w:styleId="scemptylineheader">
    <w:name w:val="sc_emptyline_header"/>
    <w:qFormat/>
    <w:rsid w:val="00143A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3A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3A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3A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3A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3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3A6B"/>
    <w:rPr>
      <w:color w:val="808080"/>
    </w:rPr>
  </w:style>
  <w:style w:type="paragraph" w:customStyle="1" w:styleId="scdirectionallanguage">
    <w:name w:val="sc_directional_language"/>
    <w:qFormat/>
    <w:rsid w:val="00143A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3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3A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3A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3A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3A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3A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3A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3A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3A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3A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3A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3A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3A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3A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3A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3A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3A6B"/>
    <w:rPr>
      <w:rFonts w:ascii="Times New Roman" w:hAnsi="Times New Roman"/>
      <w:color w:val="auto"/>
      <w:sz w:val="22"/>
    </w:rPr>
  </w:style>
  <w:style w:type="paragraph" w:customStyle="1" w:styleId="scclippagebillheader">
    <w:name w:val="sc_clip_page_bill_header"/>
    <w:qFormat/>
    <w:rsid w:val="00143A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3A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3A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3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A6B"/>
    <w:rPr>
      <w:lang w:val="en-US"/>
    </w:rPr>
  </w:style>
  <w:style w:type="paragraph" w:styleId="Footer">
    <w:name w:val="footer"/>
    <w:basedOn w:val="Normal"/>
    <w:link w:val="FooterChar"/>
    <w:uiPriority w:val="99"/>
    <w:unhideWhenUsed/>
    <w:rsid w:val="00143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A6B"/>
    <w:rPr>
      <w:lang w:val="en-US"/>
    </w:rPr>
  </w:style>
  <w:style w:type="paragraph" w:styleId="ListParagraph">
    <w:name w:val="List Paragraph"/>
    <w:basedOn w:val="Normal"/>
    <w:uiPriority w:val="34"/>
    <w:qFormat/>
    <w:rsid w:val="00143A6B"/>
    <w:pPr>
      <w:ind w:left="720"/>
      <w:contextualSpacing/>
    </w:pPr>
  </w:style>
  <w:style w:type="paragraph" w:customStyle="1" w:styleId="scbillfooter">
    <w:name w:val="sc_bill_footer"/>
    <w:qFormat/>
    <w:rsid w:val="00143A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3A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3A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3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3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3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3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3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3A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3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3A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3A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3A6B"/>
    <w:pPr>
      <w:widowControl w:val="0"/>
      <w:suppressAutoHyphens/>
      <w:spacing w:after="0" w:line="360" w:lineRule="auto"/>
    </w:pPr>
    <w:rPr>
      <w:rFonts w:ascii="Times New Roman" w:hAnsi="Times New Roman"/>
      <w:lang w:val="en-US"/>
    </w:rPr>
  </w:style>
  <w:style w:type="paragraph" w:customStyle="1" w:styleId="sctableln">
    <w:name w:val="sc_table_ln"/>
    <w:qFormat/>
    <w:rsid w:val="00143A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3A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3A6B"/>
    <w:rPr>
      <w:strike/>
      <w:dstrike w:val="0"/>
    </w:rPr>
  </w:style>
  <w:style w:type="character" w:customStyle="1" w:styleId="scinsert">
    <w:name w:val="sc_insert"/>
    <w:uiPriority w:val="1"/>
    <w:qFormat/>
    <w:rsid w:val="00143A6B"/>
    <w:rPr>
      <w:caps w:val="0"/>
      <w:smallCaps w:val="0"/>
      <w:strike w:val="0"/>
      <w:dstrike w:val="0"/>
      <w:vanish w:val="0"/>
      <w:u w:val="single"/>
      <w:vertAlign w:val="baseline"/>
    </w:rPr>
  </w:style>
  <w:style w:type="character" w:customStyle="1" w:styleId="scinsertred">
    <w:name w:val="sc_insert_red"/>
    <w:uiPriority w:val="1"/>
    <w:qFormat/>
    <w:rsid w:val="00143A6B"/>
    <w:rPr>
      <w:caps w:val="0"/>
      <w:smallCaps w:val="0"/>
      <w:strike w:val="0"/>
      <w:dstrike w:val="0"/>
      <w:vanish w:val="0"/>
      <w:color w:val="FF0000"/>
      <w:u w:val="single"/>
      <w:vertAlign w:val="baseline"/>
    </w:rPr>
  </w:style>
  <w:style w:type="character" w:customStyle="1" w:styleId="scinsertblue">
    <w:name w:val="sc_insert_blue"/>
    <w:uiPriority w:val="1"/>
    <w:qFormat/>
    <w:rsid w:val="00143A6B"/>
    <w:rPr>
      <w:caps w:val="0"/>
      <w:smallCaps w:val="0"/>
      <w:strike w:val="0"/>
      <w:dstrike w:val="0"/>
      <w:vanish w:val="0"/>
      <w:color w:val="0070C0"/>
      <w:u w:val="single"/>
      <w:vertAlign w:val="baseline"/>
    </w:rPr>
  </w:style>
  <w:style w:type="character" w:customStyle="1" w:styleId="scstrikered">
    <w:name w:val="sc_strike_red"/>
    <w:uiPriority w:val="1"/>
    <w:qFormat/>
    <w:rsid w:val="00143A6B"/>
    <w:rPr>
      <w:strike/>
      <w:dstrike w:val="0"/>
      <w:color w:val="FF0000"/>
    </w:rPr>
  </w:style>
  <w:style w:type="character" w:customStyle="1" w:styleId="scstrikeblue">
    <w:name w:val="sc_strike_blue"/>
    <w:uiPriority w:val="1"/>
    <w:qFormat/>
    <w:rsid w:val="00143A6B"/>
    <w:rPr>
      <w:strike/>
      <w:dstrike w:val="0"/>
      <w:color w:val="0070C0"/>
    </w:rPr>
  </w:style>
  <w:style w:type="character" w:customStyle="1" w:styleId="scinsertbluenounderline">
    <w:name w:val="sc_insert_blue_no_underline"/>
    <w:uiPriority w:val="1"/>
    <w:qFormat/>
    <w:rsid w:val="00143A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3A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3A6B"/>
    <w:rPr>
      <w:strike/>
      <w:dstrike w:val="0"/>
      <w:color w:val="0070C0"/>
      <w:lang w:val="en-US"/>
    </w:rPr>
  </w:style>
  <w:style w:type="character" w:customStyle="1" w:styleId="scstrikerednoncodified">
    <w:name w:val="sc_strike_red_non_codified"/>
    <w:uiPriority w:val="1"/>
    <w:qFormat/>
    <w:rsid w:val="00143A6B"/>
    <w:rPr>
      <w:strike/>
      <w:dstrike w:val="0"/>
      <w:color w:val="FF0000"/>
    </w:rPr>
  </w:style>
  <w:style w:type="paragraph" w:customStyle="1" w:styleId="scbillsiglines">
    <w:name w:val="sc_bill_sig_lines"/>
    <w:qFormat/>
    <w:rsid w:val="00143A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3A6B"/>
    <w:rPr>
      <w:bdr w:val="none" w:sz="0" w:space="0" w:color="auto"/>
      <w:shd w:val="clear" w:color="auto" w:fill="FEC6C6"/>
    </w:rPr>
  </w:style>
  <w:style w:type="character" w:customStyle="1" w:styleId="screstoreblue">
    <w:name w:val="sc_restore_blue"/>
    <w:uiPriority w:val="1"/>
    <w:qFormat/>
    <w:rsid w:val="00143A6B"/>
    <w:rPr>
      <w:color w:val="4472C4" w:themeColor="accent1"/>
      <w:bdr w:val="none" w:sz="0" w:space="0" w:color="auto"/>
      <w:shd w:val="clear" w:color="auto" w:fill="auto"/>
    </w:rPr>
  </w:style>
  <w:style w:type="character" w:customStyle="1" w:styleId="screstorered">
    <w:name w:val="sc_restore_red"/>
    <w:uiPriority w:val="1"/>
    <w:qFormat/>
    <w:rsid w:val="00143A6B"/>
    <w:rPr>
      <w:color w:val="FF0000"/>
      <w:bdr w:val="none" w:sz="0" w:space="0" w:color="auto"/>
      <w:shd w:val="clear" w:color="auto" w:fill="auto"/>
    </w:rPr>
  </w:style>
  <w:style w:type="character" w:customStyle="1" w:styleId="scstrikenewblue">
    <w:name w:val="sc_strike_new_blue"/>
    <w:uiPriority w:val="1"/>
    <w:qFormat/>
    <w:rsid w:val="00143A6B"/>
    <w:rPr>
      <w:strike w:val="0"/>
      <w:dstrike/>
      <w:color w:val="0070C0"/>
      <w:u w:val="none"/>
    </w:rPr>
  </w:style>
  <w:style w:type="character" w:customStyle="1" w:styleId="scstrikenewred">
    <w:name w:val="sc_strike_new_red"/>
    <w:uiPriority w:val="1"/>
    <w:qFormat/>
    <w:rsid w:val="00143A6B"/>
    <w:rPr>
      <w:strike w:val="0"/>
      <w:dstrike/>
      <w:color w:val="FF0000"/>
      <w:u w:val="none"/>
    </w:rPr>
  </w:style>
  <w:style w:type="character" w:customStyle="1" w:styleId="scamendsenate">
    <w:name w:val="sc_amend_senate"/>
    <w:uiPriority w:val="1"/>
    <w:qFormat/>
    <w:rsid w:val="00143A6B"/>
    <w:rPr>
      <w:bdr w:val="none" w:sz="0" w:space="0" w:color="auto"/>
      <w:shd w:val="clear" w:color="auto" w:fill="FFF2CC" w:themeFill="accent4" w:themeFillTint="33"/>
    </w:rPr>
  </w:style>
  <w:style w:type="character" w:customStyle="1" w:styleId="scamendhouse">
    <w:name w:val="sc_amend_house"/>
    <w:uiPriority w:val="1"/>
    <w:qFormat/>
    <w:rsid w:val="00143A6B"/>
    <w:rPr>
      <w:bdr w:val="none" w:sz="0" w:space="0" w:color="auto"/>
      <w:shd w:val="clear" w:color="auto" w:fill="E2EFD9" w:themeFill="accent6" w:themeFillTint="33"/>
    </w:rPr>
  </w:style>
  <w:style w:type="paragraph" w:styleId="Revision">
    <w:name w:val="Revision"/>
    <w:hidden/>
    <w:uiPriority w:val="99"/>
    <w:semiHidden/>
    <w:rsid w:val="00073E6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3&amp;session=125&amp;summary=B" TargetMode="External" Id="R1c2c52251f0d493c" /><Relationship Type="http://schemas.openxmlformats.org/officeDocument/2006/relationships/hyperlink" Target="https://www.scstatehouse.gov/sess125_2023-2024/prever/1143_20240306.docx" TargetMode="External" Id="Rd0312eee81cf4eb6" /><Relationship Type="http://schemas.openxmlformats.org/officeDocument/2006/relationships/hyperlink" Target="h:\sj\20240306.docx" TargetMode="External" Id="Rc9fea17c069d4bbe" /><Relationship Type="http://schemas.openxmlformats.org/officeDocument/2006/relationships/hyperlink" Target="h:\sj\20240306.docx" TargetMode="External" Id="R75685cec6bf340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cdd457a6-3774-453a-97c8-e7ac22c20738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INTRODATE>2024-03-06</T_BILL_D_INTRODATE>
  <T_BILL_D_SENATEINTRODATE>2024-03-06</T_BILL_D_SENATEINTRODATE>
  <T_BILL_N_INTERNALVERSIONNUMBER>1</T_BILL_N_INTERNALVERSIONNUMBER>
  <T_BILL_N_SESSION>125</T_BILL_N_SESSION>
  <T_BILL_N_VERSIONNUMBER>1</T_BILL_N_VERSIONNUMBER>
  <T_BILL_N_YEAR>2024</T_BILL_N_YEAR>
  <T_BILL_REQUEST_REQUEST>296fa2bd-5478-450a-ae65-df2288402644</T_BILL_REQUEST_REQUEST>
  <T_BILL_R_ORIGINALDRAFT>63920486-f3d3-4038-84e1-e5d72af404ed</T_BILL_R_ORIGINALDRAFT>
  <T_BILL_SPONSOR_SPONSOR>687e5ba1-fe94-4bd1-940a-ec4d03f716f8</T_BILL_SPONSOR_SPONSOR>
  <T_BILL_T_BILLNAME>[1143]</T_BILL_T_BILLNAME>
  <T_BILL_T_BILLNUMBER>1143</T_BILL_T_BILLNUMBER>
  <T_BILL_T_BILLTITLE>TO AMEND THE SOUTH CAROLINA CODE OF LAWS BY AMENDING SECTION 12‑43‑220, RELATING TO PROPERTY TAX CLASSIFICATIONS, SO AS TO DEFINE OWNER‑OCCUPANT FOR THE PURPOSES OF THE LEGAL RESIDENCE TAX EXEMPTION; AND BY AMENDING SECTION 12‑37‑250, RELATING TO HOMESTEAD EXEMPTION FOR TAXPAYERS SIXTY‑FIVE AND OVER OR THOSE TOTALLY AND PERMANENTLY DISABLED OR LEGALLY BLIND, SO AS TO DEFINE ELIGIBLE OWNER FOR PURPOSES OF THE HOMESTEAD EXEMPTION.</T_BILL_T_BILLTITLE>
  <T_BILL_T_CHAMBER>senate</T_BILL_T_CHAMBER>
  <T_BILL_T_FILENAME> </T_BILL_T_FILENAME>
  <T_BILL_T_LEGTYPE>bill_statewide</T_BILL_T_LEGTYPE>
  <T_BILL_T_SECTIONS>[{"SectionUUID":"314afb63-b96a-4ead-b102-8ecd06a3c017","SectionName":"code_section","SectionNumber":1,"SectionType":"code_section","CodeSections":[{"CodeSectionBookmarkName":"cs_T12C43N220_389b9d953","IsConstitutionSection":false,"Identity":"12-43-220","IsNew":false,"SubSections":[{"Level":1,"Identity":"T12C43N220Siv","SubSectionBookmarkName":"ss_T12C43N220Siv_lv1_0a17eb34d","IsNewSubSection":false,"SubSectionReplacement":""},{"Level":2,"Identity":"T12C43N220SA","SubSectionBookmarkName":"ss_T12C43N220SA_lv2_e5baad024","IsNewSubSection":false,"SubSectionReplacement":""},{"Level":2,"Identity":"T12C43N220SB","SubSectionBookmarkName":"ss_T12C43N220SB_lv2_89ad439c2","IsNewSubSection":false,"SubSectionReplacement":""},{"Level":2,"Identity":"T12C43N220SC","SubSectionBookmarkName":"ss_T12C43N220SC_lv2_10ced669d","IsNewSubSection":false,"SubSectionReplacement":""},{"Level":2,"Identity":"T12C43N220SD","SubSectionBookmarkName":"ss_T12C43N220SD_lv2_30fb031d0","IsNewSubSection":false,"SubSectionReplacement":""}],"TitleRelatedTo":"property tax Classifications ","TitleSoAsTo":"define owner-occupant for the purposes of the legal residence tax exemption","Deleted":false}],"TitleText":"","DisableControls":false,"Deleted":false,"RepealItems":[],"SectionBookmarkName":"bs_num_1_a45fbf005"},{"SectionUUID":"a7b971d6-edb0-449a-a030-db8c57278fb4","SectionName":"code_section","SectionNumber":2,"SectionType":"code_section","CodeSections":[{"CodeSectionBookmarkName":"cs_T12C37N250_26c744c2c","IsConstitutionSection":false,"Identity":"12-37-250","IsNew":false,"SubSections":[{"Level":1,"Identity":"T12C37N250S4","SubSectionBookmarkName":"ss_T12C37N250S4_lv1_4267db214","IsNewSubSection":false,"SubSectionReplacement":""},{"Level":2,"Identity":"T12C37N250Sa","SubSectionBookmarkName":"ss_T12C37N250Sa_lv2_5f5ed053f","IsNewSubSection":false,"SubSectionReplacement":""},{"Level":2,"Identity":"T12C37N250Sb","SubSectionBookmarkName":"ss_T12C37N250Sb_lv2_60f5c05d8","IsNewSubSection":false,"SubSectionReplacement":""},{"Level":2,"Identity":"T12C37N250Sc","SubSectionBookmarkName":"ss_T12C37N250Sc_lv2_9c2c2a17e","IsNewSubSection":false,"SubSectionReplacement":""},{"Level":3,"Identity":"T12C37N250Si","SubSectionBookmarkName":"ss_T12C37N250Si_lv3_971aa3869","IsNewSubSection":false,"SubSectionReplacement":""},{"Level":3,"Identity":"T12C37N250Sii","SubSectionBookmarkName":"ss_T12C37N250Sii_lv3_3a05683e3","IsNewSubSection":false,"SubSectionReplacement":""},{"Level":3,"Identity":"T12C37N250Siii","SubSectionBookmarkName":"ss_T12C37N250Siii_lv3_b66c6a166","IsNewSubSection":false,"SubSectionReplacement":""}],"TitleRelatedTo":"Homestead exemption for taxpayers sixty-five and over or those totally and permanently disabled or legally blind","TitleSoAsTo":"define eligible owner for purposes of the homestead exemption","Deleted":false}],"TitleText":"","DisableControls":false,"Deleted":false,"RepealItems":[],"SectionBookmarkName":"bs_num_2_2f5868a6e"},{"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3065</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cp:revision>
  <dcterms:created xsi:type="dcterms:W3CDTF">2024-03-05T15:05:00Z</dcterms:created>
  <dcterms:modified xsi:type="dcterms:W3CDTF">2024-03-05T15:05:00Z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