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McElveen, Senn, Cromer, Loftis, Stephens and Campsen</w:t>
      </w:r>
    </w:p>
    <w:p>
      <w:pPr>
        <w:widowControl w:val="false"/>
        <w:spacing w:after="0"/>
        <w:jc w:val="left"/>
      </w:pPr>
      <w:r>
        <w:rPr>
          <w:rFonts w:ascii="Times New Roman"/>
          <w:sz w:val="22"/>
        </w:rPr>
        <w:t xml:space="preserve">Document Path: LC-0105WAB23.docx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Last Amended on March 8, 2023
</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LIFE Scholarship eligibility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0ecf8bf92e04bee">
        <w:r w:rsidRPr="00770434">
          <w:rPr>
            <w:rStyle w:val="Hyperlink"/>
          </w:rPr>
          <w:t>Senate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fe8252d594d145f0">
        <w:r w:rsidRPr="00770434">
          <w:rPr>
            <w:rStyle w:val="Hyperlink"/>
          </w:rPr>
          <w:t>Senate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w:t>
      </w:r>
      <w:r>
        <w:rPr>
          <w:b/>
        </w:rPr>
        <w:t xml:space="preserve"> Education</w:t>
      </w:r>
      <w:r>
        <w:t xml:space="preserve"> (</w:t>
      </w:r>
      <w:hyperlink w:history="true" r:id="R42956d60084c4668">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Amended</w:t>
      </w:r>
      <w:r>
        <w:t xml:space="preserve"> (</w:t>
      </w:r>
      <w:hyperlink w:history="true" r:id="R978f64de8533439e">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Read second time</w:t>
      </w:r>
      <w:r>
        <w:t xml:space="preserve"> (</w:t>
      </w:r>
      <w:hyperlink w:history="true" r:id="R860e7fc58bb24a1b">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Roll call</w:t>
      </w:r>
      <w:r>
        <w:t xml:space="preserve"> Ayes-42  Nays-0</w:t>
      </w:r>
      <w:r>
        <w:t xml:space="preserve"> (</w:t>
      </w:r>
      <w:hyperlink w:history="true" r:id="R1ef6f002b58d47ad">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Read third time and sent to House</w:t>
      </w:r>
      <w:r>
        <w:t xml:space="preserve"> (</w:t>
      </w:r>
      <w:hyperlink w:history="true" r:id="Rd1424ed474db454e">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Roll call</w:t>
      </w:r>
      <w:r>
        <w:t xml:space="preserve"> Ayes-40  Nays-0</w:t>
      </w:r>
      <w:r>
        <w:t xml:space="preserve"> (</w:t>
      </w:r>
      <w:hyperlink w:history="true" r:id="R55712a69d15d4650">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68e2c473db044f4b">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Education and Public Works</w:t>
      </w:r>
      <w:r>
        <w:t xml:space="preserve"> (</w:t>
      </w:r>
      <w:hyperlink w:history="true" r:id="Ra51607a923f94305">
        <w:r w:rsidRPr="00770434">
          <w:rPr>
            <w:rStyle w:val="Hyperlink"/>
          </w:rPr>
          <w:t>House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f2e01057894f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35c355f0b784ab3">
        <w:r>
          <w:rPr>
            <w:rStyle w:val="Hyperlink"/>
            <w:u w:val="single"/>
          </w:rPr>
          <w:t>11/30/2022</w:t>
        </w:r>
      </w:hyperlink>
      <w:r>
        <w:t xml:space="preserve"/>
      </w:r>
    </w:p>
    <w:p>
      <w:pPr>
        <w:widowControl w:val="true"/>
        <w:spacing w:after="0"/>
        <w:jc w:val="left"/>
      </w:pPr>
      <w:r>
        <w:rPr>
          <w:rFonts w:ascii="Times New Roman"/>
          <w:sz w:val="22"/>
        </w:rPr>
        <w:t xml:space="preserve"/>
      </w:r>
      <w:hyperlink r:id="R8d39aa1540ed41db">
        <w:r>
          <w:rPr>
            <w:rStyle w:val="Hyperlink"/>
            <w:u w:val="single"/>
          </w:rPr>
          <w:t>02/22/2023</w:t>
        </w:r>
      </w:hyperlink>
      <w:r>
        <w:t xml:space="preserve"/>
      </w:r>
    </w:p>
    <w:p>
      <w:pPr>
        <w:widowControl w:val="true"/>
        <w:spacing w:after="0"/>
        <w:jc w:val="left"/>
      </w:pPr>
      <w:r>
        <w:rPr>
          <w:rFonts w:ascii="Times New Roman"/>
          <w:sz w:val="22"/>
        </w:rPr>
        <w:t xml:space="preserve"/>
      </w:r>
      <w:hyperlink r:id="R474107832a45468d">
        <w:r>
          <w:rPr>
            <w:rStyle w:val="Hyperlink"/>
            <w:u w:val="single"/>
          </w:rPr>
          <w:t>03/08/2023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D0EFA" w:rsidP="003D0EFA" w:rsidRDefault="003D0EFA" w14:paraId="25066814" w14:textId="77777777">
      <w:pPr>
        <w:pStyle w:val="sccoversheetstricken"/>
      </w:pPr>
      <w:r w:rsidRPr="00B07BF4">
        <w:t>Indicates Matter Stricken</w:t>
      </w:r>
    </w:p>
    <w:p w:rsidRPr="00B07BF4" w:rsidR="003D0EFA" w:rsidP="003D0EFA" w:rsidRDefault="003D0EFA" w14:paraId="01D39FD6" w14:textId="77777777">
      <w:pPr>
        <w:pStyle w:val="sccoversheetunderline"/>
      </w:pPr>
      <w:r w:rsidRPr="00B07BF4">
        <w:t>Indicates New Matter</w:t>
      </w:r>
    </w:p>
    <w:p w:rsidRPr="00B07BF4" w:rsidR="003D0EFA" w:rsidP="003D0EFA" w:rsidRDefault="003D0EFA" w14:paraId="2EA77CAE" w14:textId="77777777">
      <w:pPr>
        <w:pStyle w:val="sccoversheetemptyline"/>
      </w:pPr>
    </w:p>
    <w:sdt>
      <w:sdtPr>
        <w:alias w:val="status"/>
        <w:tag w:val="status"/>
        <w:id w:val="854397200"/>
        <w:placeholder>
          <w:docPart w:val="9EE9E93AC6F644F39C43F1718B2D96B4"/>
        </w:placeholder>
      </w:sdtPr>
      <w:sdtEndPr/>
      <w:sdtContent>
        <w:p w:rsidRPr="00B07BF4" w:rsidR="003D0EFA" w:rsidP="003D0EFA" w:rsidRDefault="003D0EFA" w14:paraId="6A66F1EF" w14:textId="336639DB">
          <w:pPr>
            <w:pStyle w:val="sccoversheetstatus"/>
          </w:pPr>
          <w:r>
            <w:t>Amended</w:t>
          </w:r>
        </w:p>
      </w:sdtContent>
    </w:sdt>
    <w:sdt>
      <w:sdtPr>
        <w:alias w:val="readfirst"/>
        <w:tag w:val="readfirst"/>
        <w:id w:val="-1779714481"/>
        <w:placeholder>
          <w:docPart w:val="9EE9E93AC6F644F39C43F1718B2D96B4"/>
        </w:placeholder>
        <w:text/>
      </w:sdtPr>
      <w:sdtEndPr/>
      <w:sdtContent>
        <w:p w:rsidRPr="00B07BF4" w:rsidR="003D0EFA" w:rsidP="003D0EFA" w:rsidRDefault="003D01E8" w14:paraId="0A5C3CB0" w14:textId="2C1969EE">
          <w:pPr>
            <w:pStyle w:val="sccoversheetinfo"/>
          </w:pPr>
          <w:r>
            <w:t>March 8</w:t>
          </w:r>
          <w:r w:rsidR="003D0EFA">
            <w:t>, 2023</w:t>
          </w:r>
        </w:p>
      </w:sdtContent>
    </w:sdt>
    <w:sdt>
      <w:sdtPr>
        <w:alias w:val="billnumber"/>
        <w:tag w:val="billnumber"/>
        <w:id w:val="-897512070"/>
        <w:placeholder>
          <w:docPart w:val="9EE9E93AC6F644F39C43F1718B2D96B4"/>
        </w:placeholder>
        <w:text/>
      </w:sdtPr>
      <w:sdtEndPr/>
      <w:sdtContent>
        <w:p w:rsidRPr="00B07BF4" w:rsidR="003D0EFA" w:rsidP="003D0EFA" w:rsidRDefault="003D0EFA" w14:paraId="0F90DDC5" w14:textId="61A2C99C">
          <w:pPr>
            <w:pStyle w:val="sccoversheetbillno"/>
          </w:pPr>
          <w:r>
            <w:t>S.</w:t>
          </w:r>
          <w:r w:rsidR="003D01E8">
            <w:t xml:space="preserve"> </w:t>
          </w:r>
          <w:r>
            <w:t>138</w:t>
          </w:r>
        </w:p>
      </w:sdtContent>
    </w:sdt>
    <w:p w:rsidRPr="00B07BF4" w:rsidR="003D0EFA" w:rsidP="003D0EFA" w:rsidRDefault="003D0EFA" w14:paraId="43987A06" w14:textId="41BCC720">
      <w:pPr>
        <w:pStyle w:val="sccoversheetsponsor6"/>
        <w:jc w:val="center"/>
      </w:pPr>
      <w:r w:rsidRPr="00B07BF4">
        <w:t xml:space="preserve">Introduced by </w:t>
      </w:r>
      <w:sdt>
        <w:sdtPr>
          <w:alias w:val="sponsortype"/>
          <w:tag w:val="sponsortype"/>
          <w:id w:val="1707217765"/>
          <w:placeholder>
            <w:docPart w:val="9EE9E93AC6F644F39C43F1718B2D96B4"/>
          </w:placeholder>
          <w:text/>
        </w:sdtPr>
        <w:sdtEndPr/>
        <w:sdtContent>
          <w:r>
            <w:t>Senators</w:t>
          </w:r>
        </w:sdtContent>
      </w:sdt>
      <w:r w:rsidRPr="00B07BF4">
        <w:t xml:space="preserve"> </w:t>
      </w:r>
      <w:sdt>
        <w:sdtPr>
          <w:alias w:val="sponsors"/>
          <w:tag w:val="sponsors"/>
          <w:id w:val="716862734"/>
          <w:placeholder>
            <w:docPart w:val="9EE9E93AC6F644F39C43F1718B2D96B4"/>
          </w:placeholder>
          <w:text/>
        </w:sdtPr>
        <w:sdtEndPr/>
        <w:sdtContent>
          <w:proofErr w:type="spellStart"/>
          <w:r>
            <w:t>McElveen</w:t>
          </w:r>
          <w:proofErr w:type="spellEnd"/>
          <w:r>
            <w:t xml:space="preserve">, </w:t>
          </w:r>
          <w:proofErr w:type="spellStart"/>
          <w:r>
            <w:t>Senn</w:t>
          </w:r>
          <w:proofErr w:type="spellEnd"/>
          <w:r>
            <w:t xml:space="preserve">, Cromer, </w:t>
          </w:r>
          <w:proofErr w:type="gramStart"/>
          <w:r>
            <w:t>Loftis</w:t>
          </w:r>
          <w:proofErr w:type="gramEnd"/>
          <w:r>
            <w:t xml:space="preserve"> and Stephens</w:t>
          </w:r>
        </w:sdtContent>
      </w:sdt>
      <w:r w:rsidRPr="00B07BF4">
        <w:t xml:space="preserve"> </w:t>
      </w:r>
    </w:p>
    <w:p w:rsidRPr="00B07BF4" w:rsidR="003D0EFA" w:rsidP="003D0EFA" w:rsidRDefault="003D0EFA" w14:paraId="4B8E1F81" w14:textId="77777777">
      <w:pPr>
        <w:pStyle w:val="sccoversheetsponsor6"/>
      </w:pPr>
    </w:p>
    <w:p w:rsidRPr="00B07BF4" w:rsidR="003D0EFA" w:rsidP="003D0EFA" w:rsidRDefault="009D7A66" w14:paraId="265B8436" w14:textId="78BED8D5">
      <w:pPr>
        <w:pStyle w:val="sccoversheetinfo"/>
      </w:pPr>
      <w:sdt>
        <w:sdtPr>
          <w:alias w:val="typeinitial"/>
          <w:tag w:val="typeinitial"/>
          <w:id w:val="98301346"/>
          <w:placeholder>
            <w:docPart w:val="9EE9E93AC6F644F39C43F1718B2D96B4"/>
          </w:placeholder>
          <w:text/>
        </w:sdtPr>
        <w:sdtEndPr/>
        <w:sdtContent>
          <w:r w:rsidR="003D0EFA">
            <w:t>S</w:t>
          </w:r>
        </w:sdtContent>
      </w:sdt>
      <w:r w:rsidRPr="00B07BF4" w:rsidR="003D0EFA">
        <w:t xml:space="preserve">. Printed </w:t>
      </w:r>
      <w:sdt>
        <w:sdtPr>
          <w:alias w:val="printed"/>
          <w:tag w:val="printed"/>
          <w:id w:val="-774643221"/>
          <w:placeholder>
            <w:docPart w:val="9EE9E93AC6F644F39C43F1718B2D96B4"/>
          </w:placeholder>
          <w:text/>
        </w:sdtPr>
        <w:sdtEndPr/>
        <w:sdtContent>
          <w:r w:rsidR="003D0EFA">
            <w:t>03/08/23</w:t>
          </w:r>
        </w:sdtContent>
      </w:sdt>
      <w:r w:rsidRPr="00B07BF4" w:rsidR="003D0EFA">
        <w:t>--</w:t>
      </w:r>
      <w:sdt>
        <w:sdtPr>
          <w:alias w:val="residingchamber"/>
          <w:tag w:val="residingchamber"/>
          <w:id w:val="1651789982"/>
          <w:placeholder>
            <w:docPart w:val="9EE9E93AC6F644F39C43F1718B2D96B4"/>
          </w:placeholder>
          <w:text/>
        </w:sdtPr>
        <w:sdtEndPr/>
        <w:sdtContent>
          <w:r w:rsidR="003D0EFA">
            <w:t>S</w:t>
          </w:r>
        </w:sdtContent>
      </w:sdt>
      <w:r w:rsidRPr="00B07BF4" w:rsidR="003D0EFA">
        <w:t>.</w:t>
      </w:r>
    </w:p>
    <w:p w:rsidRPr="00B07BF4" w:rsidR="003D0EFA" w:rsidP="003D0EFA" w:rsidRDefault="003D0EFA" w14:paraId="1FEBD81F" w14:textId="6D83990E">
      <w:pPr>
        <w:pStyle w:val="sccoversheetreadfirst"/>
      </w:pPr>
      <w:r w:rsidRPr="00B07BF4">
        <w:t xml:space="preserve">Read the first time </w:t>
      </w:r>
      <w:sdt>
        <w:sdtPr>
          <w:alias w:val="readfirst"/>
          <w:tag w:val="readfirst"/>
          <w:id w:val="-1145275273"/>
          <w:placeholder>
            <w:docPart w:val="9EE9E93AC6F644F39C43F1718B2D96B4"/>
          </w:placeholder>
          <w:text/>
        </w:sdtPr>
        <w:sdtEndPr/>
        <w:sdtContent>
          <w:r>
            <w:t>January 10, 2023</w:t>
          </w:r>
        </w:sdtContent>
      </w:sdt>
    </w:p>
    <w:p w:rsidRPr="00B07BF4" w:rsidR="003D0EFA" w:rsidP="003D0EFA" w:rsidRDefault="003D0EFA" w14:paraId="35CEE232" w14:textId="77777777">
      <w:pPr>
        <w:pStyle w:val="sccoversheetemptyline"/>
      </w:pPr>
    </w:p>
    <w:p w:rsidRPr="00B07BF4" w:rsidR="003D0EFA" w:rsidP="003D0EFA" w:rsidRDefault="003D0EFA" w14:paraId="5CC87633" w14:textId="77777777">
      <w:pPr>
        <w:pStyle w:val="sccoversheetemptyline"/>
        <w:tabs>
          <w:tab w:val="center" w:pos="4493"/>
          <w:tab w:val="right" w:pos="8986"/>
        </w:tabs>
        <w:jc w:val="center"/>
      </w:pPr>
      <w:r w:rsidRPr="00B07BF4">
        <w:t>________</w:t>
      </w:r>
    </w:p>
    <w:p w:rsidRPr="00B07BF4" w:rsidR="003D0EFA" w:rsidP="003D0EFA" w:rsidRDefault="003D0EFA" w14:paraId="116B5ACC" w14:textId="77777777">
      <w:pPr>
        <w:pStyle w:val="sccoversheetemptyline"/>
        <w:jc w:val="center"/>
        <w:rPr>
          <w:u w:val="single"/>
        </w:rPr>
      </w:pPr>
    </w:p>
    <w:p w:rsidRPr="00B07BF4" w:rsidR="003D0EFA" w:rsidP="003D0EFA" w:rsidRDefault="003D0EFA" w14:paraId="3D68B40D" w14:textId="77777777">
      <w:pPr>
        <w:rPr>
          <w:rFonts w:ascii="Times New Roman" w:hAnsi="Times New Roman"/>
        </w:rPr>
      </w:pPr>
      <w:r w:rsidRPr="00B07BF4">
        <w:br w:type="page"/>
      </w:r>
    </w:p>
    <w:p w:rsidRPr="00BB0725" w:rsidR="00A73EFA" w:rsidP="002C0824" w:rsidRDefault="00A73EFA" w14:paraId="7B72410E" w14:textId="42372875">
      <w:pPr>
        <w:pStyle w:val="scemptylineheader"/>
      </w:pPr>
    </w:p>
    <w:p w:rsidRPr="00BB0725" w:rsidR="00A73EFA" w:rsidP="002C0824" w:rsidRDefault="00A73EFA" w14:paraId="6AD935C9" w14:textId="5917F9ED">
      <w:pPr>
        <w:pStyle w:val="scemptylineheader"/>
      </w:pPr>
    </w:p>
    <w:p w:rsidRPr="00DF3B44" w:rsidR="00A73EFA" w:rsidP="002C0824" w:rsidRDefault="00A73EFA" w14:paraId="51A98227" w14:textId="07DBE8BF">
      <w:pPr>
        <w:pStyle w:val="scemptylineheader"/>
      </w:pPr>
    </w:p>
    <w:p w:rsidRPr="00DF3B44" w:rsidR="00A73EFA" w:rsidP="002C0824" w:rsidRDefault="00A73EFA" w14:paraId="3858851A" w14:textId="1A7C8D3A">
      <w:pPr>
        <w:pStyle w:val="scemptylineheader"/>
      </w:pPr>
    </w:p>
    <w:p w:rsidRPr="00DF3B44" w:rsidR="00A73EFA" w:rsidP="002C0824" w:rsidRDefault="00A73EFA" w14:paraId="4E3DDE20" w14:textId="3742B97F">
      <w:pPr>
        <w:pStyle w:val="scemptylineheader"/>
      </w:pPr>
    </w:p>
    <w:p w:rsidRPr="00DF3B44" w:rsidR="002C3463" w:rsidP="00037F04" w:rsidRDefault="002C3463" w14:paraId="1803EF34" w14:textId="5BD12D5F">
      <w:pPr>
        <w:pStyle w:val="scemptylineheader"/>
      </w:pPr>
    </w:p>
    <w:p w:rsidR="003D0EFA" w:rsidP="00446987" w:rsidRDefault="003D0EFA" w14:paraId="629BC848" w14:textId="77777777">
      <w:pPr>
        <w:pStyle w:val="scemptylineheader"/>
      </w:pPr>
    </w:p>
    <w:p w:rsidRPr="00DF3B44" w:rsidR="008E61A1" w:rsidP="00446987" w:rsidRDefault="008E61A1" w14:paraId="3B5B27A6" w14:textId="35644445">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833CC" w14:paraId="40FEFADA" w14:textId="6F8BD101">
          <w:pPr>
            <w:pStyle w:val="scbilltitle"/>
            <w:tabs>
              <w:tab w:val="left" w:pos="2104"/>
            </w:tabs>
          </w:pPr>
          <w:r>
            <w:t xml:space="preserve">to amend the South Carolina Code of Laws by amending Section 59‑149‑50, relating to GRADE POINT AVERAGE REQUIREMENTS FOR </w:t>
          </w:r>
          <w:r w:rsidR="00FD3CBE">
            <w:t>LIFE</w:t>
          </w:r>
          <w:r>
            <w:t xml:space="preserve"> SCHOLARSHIP ELIGIBILITY AND RETENTION, so as to PROVIDE A student who becomes eligible for a LIFE Scholarship may not subsequently become ineligible for retention of the scholarship based on a grade in a dual enrollment class.</w:t>
          </w:r>
        </w:p>
      </w:sdtContent>
    </w:sdt>
    <w:bookmarkStart w:name="at_de39d74fc" w:displacedByCustomXml="prev" w:id="0"/>
    <w:bookmarkEnd w:id="0"/>
    <w:p w:rsidR="003D01E8" w:rsidP="003D01E8" w:rsidRDefault="003D01E8" w14:paraId="00D38E6C" w14:textId="77777777">
      <w:pPr>
        <w:pStyle w:val="scnoncodifiedsection"/>
      </w:pPr>
      <w:r>
        <w:tab/>
        <w:t xml:space="preserve">Amend Title </w:t>
      </w:r>
      <w:proofErr w:type="gramStart"/>
      <w:r>
        <w:t>To</w:t>
      </w:r>
      <w:proofErr w:type="gramEnd"/>
      <w:r>
        <w:t xml:space="preserve"> Conform</w:t>
      </w:r>
    </w:p>
    <w:p w:rsidRPr="00DF3B44" w:rsidR="006C18F0" w:rsidP="003D01E8" w:rsidRDefault="006C18F0" w14:paraId="5BAAC1B7" w14:textId="109A0C39">
      <w:pPr>
        <w:pStyle w:val="scnoncodifiedsection"/>
      </w:pPr>
    </w:p>
    <w:p w:rsidRPr="0094541D" w:rsidR="007E06BB" w:rsidP="0094541D" w:rsidRDefault="002C3463" w14:paraId="7A934B75" w14:textId="6F4B79DE">
      <w:pPr>
        <w:pStyle w:val="scenactingwords"/>
      </w:pPr>
      <w:bookmarkStart w:name="ew_fac6b450b" w:id="1"/>
      <w:r w:rsidRPr="0094541D">
        <w:t>B</w:t>
      </w:r>
      <w:bookmarkEnd w:id="1"/>
      <w:r w:rsidRPr="0094541D">
        <w:t>e it enacted by the General Assembly of the State of South Carolina:</w:t>
      </w:r>
    </w:p>
    <w:p w:rsidR="00772E9C" w:rsidP="00772E9C" w:rsidRDefault="00772E9C" w14:paraId="3DD2CF8E" w14:textId="77777777">
      <w:pPr>
        <w:pStyle w:val="scemptyline"/>
      </w:pPr>
    </w:p>
    <w:p w:rsidR="00772E9C" w:rsidP="00772E9C" w:rsidRDefault="00772E9C" w14:paraId="718DF801" w14:textId="77777777">
      <w:pPr>
        <w:pStyle w:val="scdirectionallanguage"/>
      </w:pPr>
      <w:bookmarkStart w:name="bs_num_1_97159040a" w:id="2"/>
      <w:r>
        <w:t>S</w:t>
      </w:r>
      <w:bookmarkEnd w:id="2"/>
      <w:r>
        <w:t>ECTION 1.</w:t>
      </w:r>
      <w:r>
        <w:tab/>
      </w:r>
      <w:bookmarkStart w:name="dl_d6e9e663f" w:id="3"/>
      <w:r>
        <w:t>S</w:t>
      </w:r>
      <w:bookmarkEnd w:id="3"/>
      <w:r>
        <w:t>ection 59‑149‑50(B) of the S.C. Code is amended to read:</w:t>
      </w:r>
    </w:p>
    <w:p w:rsidR="00772E9C" w:rsidP="00772E9C" w:rsidRDefault="00772E9C" w14:paraId="63CF4A67" w14:textId="77777777">
      <w:pPr>
        <w:pStyle w:val="scemptyline"/>
      </w:pPr>
    </w:p>
    <w:p w:rsidR="00A70252" w:rsidP="00A70252" w:rsidRDefault="00772E9C" w14:paraId="1567DFBA" w14:textId="77777777">
      <w:pPr>
        <w:pStyle w:val="sccodifiedsection"/>
      </w:pPr>
      <w:bookmarkStart w:name="cs_T59C149N50_3233b70ab" w:id="4"/>
      <w:r>
        <w:tab/>
      </w:r>
      <w:bookmarkStart w:name="ss_T59C149N50SB_lv1_9d6f8ec9b" w:id="5"/>
      <w:bookmarkEnd w:id="4"/>
      <w:r>
        <w:t>(</w:t>
      </w:r>
      <w:bookmarkEnd w:id="5"/>
      <w:r>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59‑149‑60.  The cumulative grade point average calculation, for purposes of LIFE scholarship eligibility, must be inclusive of the student's grade point average at all public or independent institutions attended by the student.</w:t>
      </w:r>
      <w:r>
        <w:rPr>
          <w:rStyle w:val="scinsert"/>
        </w:rPr>
        <w:t xml:space="preserve"> </w:t>
      </w:r>
      <w:r w:rsidR="00A70252">
        <w:rPr>
          <w:rStyle w:val="scinsert"/>
        </w:rPr>
        <w:t>Beginning with the 2023 high school graduating class, a grade in a dual enrollment class shall not prevent a student from retaining their LIFE scholarship for their second year.</w:t>
      </w:r>
    </w:p>
    <w:p w:rsidRPr="00DF3B44" w:rsidR="007E06BB" w:rsidP="00772E9C" w:rsidRDefault="007E06BB" w14:paraId="3D8F1FED" w14:textId="5B714B35">
      <w:pPr>
        <w:pStyle w:val="scemptyline"/>
      </w:pPr>
    </w:p>
    <w:p w:rsidRPr="00DF3B44" w:rsidR="007A10F1" w:rsidP="007A10F1" w:rsidRDefault="00772E9C" w14:paraId="0E9393B4" w14:textId="053DE44C">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77BF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AE1D27F" w:rsidR="00685035" w:rsidRPr="007B4AF7" w:rsidRDefault="009D7A6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C4C15">
              <w:t>[0138]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4C1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C5D"/>
    <w:rsid w:val="00011182"/>
    <w:rsid w:val="00012912"/>
    <w:rsid w:val="00017FB0"/>
    <w:rsid w:val="00020B5D"/>
    <w:rsid w:val="00026421"/>
    <w:rsid w:val="00030409"/>
    <w:rsid w:val="000331A0"/>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5E41"/>
    <w:rsid w:val="001F2A41"/>
    <w:rsid w:val="001F313F"/>
    <w:rsid w:val="001F331D"/>
    <w:rsid w:val="001F394C"/>
    <w:rsid w:val="001F3D02"/>
    <w:rsid w:val="002038AA"/>
    <w:rsid w:val="002114C8"/>
    <w:rsid w:val="0021166F"/>
    <w:rsid w:val="002162DF"/>
    <w:rsid w:val="00230038"/>
    <w:rsid w:val="00233975"/>
    <w:rsid w:val="00236D73"/>
    <w:rsid w:val="00240E65"/>
    <w:rsid w:val="00254DCF"/>
    <w:rsid w:val="00257F60"/>
    <w:rsid w:val="002625EA"/>
    <w:rsid w:val="00264AE9"/>
    <w:rsid w:val="00275AE6"/>
    <w:rsid w:val="002836D8"/>
    <w:rsid w:val="002A7989"/>
    <w:rsid w:val="002B02F3"/>
    <w:rsid w:val="002C0824"/>
    <w:rsid w:val="002C1AA8"/>
    <w:rsid w:val="002C3463"/>
    <w:rsid w:val="002D266D"/>
    <w:rsid w:val="002D392E"/>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01E8"/>
    <w:rsid w:val="003D0EF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7BF1"/>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2E9C"/>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0BEE"/>
    <w:rsid w:val="00824982"/>
    <w:rsid w:val="00831048"/>
    <w:rsid w:val="00834272"/>
    <w:rsid w:val="008625C1"/>
    <w:rsid w:val="00870CBE"/>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7A66"/>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0252"/>
    <w:rsid w:val="00A73EFA"/>
    <w:rsid w:val="00A77A3B"/>
    <w:rsid w:val="00A92F6F"/>
    <w:rsid w:val="00A94298"/>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4C15"/>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33CC"/>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422"/>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7428"/>
    <w:rsid w:val="00F900B4"/>
    <w:rsid w:val="00FA0F2E"/>
    <w:rsid w:val="00FA4DB1"/>
    <w:rsid w:val="00FB3F2A"/>
    <w:rsid w:val="00FC3593"/>
    <w:rsid w:val="00FD117D"/>
    <w:rsid w:val="00FD3C5D"/>
    <w:rsid w:val="00FD3CBE"/>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72E9C"/>
    <w:pPr>
      <w:spacing w:after="0" w:line="240" w:lineRule="auto"/>
    </w:pPr>
    <w:rPr>
      <w:lang w:val="en-US"/>
    </w:rPr>
  </w:style>
  <w:style w:type="character" w:styleId="CommentReference">
    <w:name w:val="annotation reference"/>
    <w:basedOn w:val="DefaultParagraphFont"/>
    <w:uiPriority w:val="99"/>
    <w:semiHidden/>
    <w:unhideWhenUsed/>
    <w:rsid w:val="00A70252"/>
    <w:rPr>
      <w:sz w:val="16"/>
      <w:szCs w:val="16"/>
    </w:rPr>
  </w:style>
  <w:style w:type="paragraph" w:styleId="CommentText">
    <w:name w:val="annotation text"/>
    <w:basedOn w:val="Normal"/>
    <w:link w:val="CommentTextChar"/>
    <w:uiPriority w:val="99"/>
    <w:semiHidden/>
    <w:unhideWhenUsed/>
    <w:rsid w:val="00A70252"/>
    <w:pPr>
      <w:spacing w:line="240" w:lineRule="auto"/>
    </w:pPr>
    <w:rPr>
      <w:sz w:val="20"/>
      <w:szCs w:val="20"/>
    </w:rPr>
  </w:style>
  <w:style w:type="character" w:customStyle="1" w:styleId="CommentTextChar">
    <w:name w:val="Comment Text Char"/>
    <w:basedOn w:val="DefaultParagraphFont"/>
    <w:link w:val="CommentText"/>
    <w:uiPriority w:val="99"/>
    <w:semiHidden/>
    <w:rsid w:val="00A70252"/>
    <w:rPr>
      <w:sz w:val="20"/>
      <w:szCs w:val="20"/>
      <w:lang w:val="en-US"/>
    </w:rPr>
  </w:style>
  <w:style w:type="paragraph" w:styleId="CommentSubject">
    <w:name w:val="annotation subject"/>
    <w:basedOn w:val="CommentText"/>
    <w:next w:val="CommentText"/>
    <w:link w:val="CommentSubjectChar"/>
    <w:uiPriority w:val="99"/>
    <w:semiHidden/>
    <w:unhideWhenUsed/>
    <w:rsid w:val="00A70252"/>
    <w:rPr>
      <w:b/>
      <w:bCs/>
    </w:rPr>
  </w:style>
  <w:style w:type="character" w:customStyle="1" w:styleId="CommentSubjectChar">
    <w:name w:val="Comment Subject Char"/>
    <w:basedOn w:val="CommentTextChar"/>
    <w:link w:val="CommentSubject"/>
    <w:uiPriority w:val="99"/>
    <w:semiHidden/>
    <w:rsid w:val="00A70252"/>
    <w:rPr>
      <w:b/>
      <w:bCs/>
      <w:sz w:val="20"/>
      <w:szCs w:val="20"/>
      <w:lang w:val="en-US"/>
    </w:rPr>
  </w:style>
  <w:style w:type="paragraph" w:customStyle="1" w:styleId="sccoversheetcommitteereportchairperson">
    <w:name w:val="sc_coversheet_committee_report_chairperson"/>
    <w:qFormat/>
    <w:rsid w:val="003D0EF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D0EF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D0EF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D0EF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D0EF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D0EF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D0EFA"/>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3D0E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3D0EF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D0EF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D0EFA"/>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38&amp;session=125&amp;summary=B" TargetMode="External" Id="Rb1f2e01057894ff9" /><Relationship Type="http://schemas.openxmlformats.org/officeDocument/2006/relationships/hyperlink" Target="https://www.scstatehouse.gov/sess125_2023-2024/prever/138_20221130.docx" TargetMode="External" Id="Rd35c355f0b784ab3" /><Relationship Type="http://schemas.openxmlformats.org/officeDocument/2006/relationships/hyperlink" Target="https://www.scstatehouse.gov/sess125_2023-2024/prever/138_20230222.docx" TargetMode="External" Id="R8d39aa1540ed41db" /><Relationship Type="http://schemas.openxmlformats.org/officeDocument/2006/relationships/hyperlink" Target="https://www.scstatehouse.gov/sess125_2023-2024/prever/138_20230308.docx" TargetMode="External" Id="R474107832a45468d" /><Relationship Type="http://schemas.openxmlformats.org/officeDocument/2006/relationships/hyperlink" Target="h:\sj\20230110.docx" TargetMode="External" Id="R10ecf8bf92e04bee" /><Relationship Type="http://schemas.openxmlformats.org/officeDocument/2006/relationships/hyperlink" Target="h:\sj\20230110.docx" TargetMode="External" Id="Rfe8252d594d145f0" /><Relationship Type="http://schemas.openxmlformats.org/officeDocument/2006/relationships/hyperlink" Target="h:\sj\20230222.docx" TargetMode="External" Id="R42956d60084c4668" /><Relationship Type="http://schemas.openxmlformats.org/officeDocument/2006/relationships/hyperlink" Target="h:\sj\20230308.docx" TargetMode="External" Id="R978f64de8533439e" /><Relationship Type="http://schemas.openxmlformats.org/officeDocument/2006/relationships/hyperlink" Target="h:\sj\20230308.docx" TargetMode="External" Id="R860e7fc58bb24a1b" /><Relationship Type="http://schemas.openxmlformats.org/officeDocument/2006/relationships/hyperlink" Target="h:\sj\20230308.docx" TargetMode="External" Id="R1ef6f002b58d47ad" /><Relationship Type="http://schemas.openxmlformats.org/officeDocument/2006/relationships/hyperlink" Target="h:\sj\20230315.docx" TargetMode="External" Id="Rd1424ed474db454e" /><Relationship Type="http://schemas.openxmlformats.org/officeDocument/2006/relationships/hyperlink" Target="h:\sj\20230315.docx" TargetMode="External" Id="R55712a69d15d4650" /><Relationship Type="http://schemas.openxmlformats.org/officeDocument/2006/relationships/hyperlink" Target="h:\hj\20230328.docx" TargetMode="External" Id="R68e2c473db044f4b" /><Relationship Type="http://schemas.openxmlformats.org/officeDocument/2006/relationships/hyperlink" Target="h:\hj\20230328.docx" TargetMode="External" Id="Ra51607a923f943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EE9E93AC6F644F39C43F1718B2D96B4"/>
        <w:category>
          <w:name w:val="General"/>
          <w:gallery w:val="placeholder"/>
        </w:category>
        <w:types>
          <w:type w:val="bbPlcHdr"/>
        </w:types>
        <w:behaviors>
          <w:behavior w:val="content"/>
        </w:behaviors>
        <w:guid w:val="{16F92084-DFE1-4374-B3F4-2C76D0246FEE}"/>
      </w:docPartPr>
      <w:docPartBody>
        <w:p w:rsidR="000269FD" w:rsidRDefault="00E221CA" w:rsidP="00E221CA">
          <w:pPr>
            <w:pStyle w:val="9EE9E93AC6F644F39C43F1718B2D96B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269FD"/>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221CA"/>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1CA"/>
    <w:rPr>
      <w:color w:val="808080"/>
    </w:rPr>
  </w:style>
  <w:style w:type="paragraph" w:customStyle="1" w:styleId="9EE9E93AC6F644F39C43F1718B2D96B4">
    <w:name w:val="9EE9E93AC6F644F39C43F1718B2D96B4"/>
    <w:rsid w:val="00E221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bda4f41e-b962-448d-812d-fcf76518e535","originalBill":null,"session":0,"billNumber":null,"version":"0001-01-01T00:00:00","legType":null,"delta":null,"isPerfectingAmendment":false,"originalAmendment":null,"previousBill":null,"isOffered":false,"order":1,"isAdopted":false,"amendmentNumber":"1","internalBillVersion":null,"isCommitteeReport":false,"BillTitle":"&lt;Failed to get bill title&gt;","id":"849fea25-7cab-4b39-8c36-10190d561558","name":"SMIN-138.AA0004S","filenameExtension":null,"parentId":"00000000-0000-0000-0000-000000000000"}]</AMENDMENTS_USED_FOR_MERGE>
  <FILENAME>&lt;&lt;filename&gt;&gt;</FILENAME>
  <ID>675c3f28-4eeb-4105-997f-18c96a6552d9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2023-03-08T14:37:56.340650-05:00</T_BILL_DT_VERSION>
  <T_BILL_D_INTRODATE>2023-01-10</T_BILL_D_INTRODATE>
  <T_BILL_D_PREFILEDATE>2022-11-30</T_BILL_D_PREFILEDATE>
  <T_BILL_N_INTERNALVERSIONNUMBER>1</T_BILL_N_INTERNALVERSIONNUMBER>
  <T_BILL_N_SESSION>125</T_BILL_N_SESSION>
  <T_BILL_N_VERSIONNUMBER>2</T_BILL_N_VERSIONNUMBER>
  <T_BILL_N_YEAR>2023</T_BILL_N_YEAR>
  <T_BILL_REQUEST_REQUEST>33d8f73c-ac19-4860-8ca1-59d6ff31d6bc</T_BILL_REQUEST_REQUEST>
  <T_BILL_R_ORIGINALBILL>9f21cc23-cb2d-457d-9206-44668011a5cd</T_BILL_R_ORIGINALBILL>
  <T_BILL_R_ORIGINALDRAFT>95c833ba-2d4b-4e47-b733-5b0e95d07d8e</T_BILL_R_ORIGINALDRAFT>
  <T_BILL_SPONSOR_SPONSOR>45021917-9fba-465e-b00e-f8374922f5b0</T_BILL_SPONSOR_SPONSOR>
  <T_BILL_T_ACTNUMBER>None</T_BILL_T_ACTNUMBER>
  <T_BILL_T_BILLNAME>[0138]</T_BILL_T_BILLNAME>
  <T_BILL_T_BILLNUMBER>138</T_BILL_T_BILLNUMBER>
  <T_BILL_T_BILLTITLE>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T_BILL_T_BILLTITLE>
  <T_BILL_T_CHAMBER>senate</T_BILL_T_CHAMBER>
  <T_BILL_T_FILENAME> </T_BILL_T_FILENAME>
  <T_BILL_T_LEGTYPE>bill_statewide</T_BILL_T_LEGTYPE>
  <T_BILL_T_RATNUMBER>None</T_BILL_T_RATNUMBER>
  <T_BILL_T_SECTIONS>[{"SectionUUID":"30a61247-a06b-450e-87fe-27bbc72c65a9","SectionName":"code_section","SectionNumber":1,"SectionType":"code_section","CodeSections":[{"CodeSectionBookmarkName":"cs_T59C149N50_3233b70ab","IsConstitutionSection":false,"Identity":"59-149-50","IsNew":false,"SubSections":[{"Level":1,"Identity":"T59C149N50SB","SubSectionBookmarkName":"ss_T59C149N50SB_lv1_9d6f8ec9b","IsNewSubSection":false}],"TitleRelatedTo":"GRADE POINT AVERAGE REQUIREMENTS FOR LIFE SCHOLARSHIP ELIGIBILITY AND RETENTION","TitleSoAsTo":"PROVIDE A student who becomes eligible for a LIFE Scholarship may not subsequently become ineligible for retention of the scholarship based on a grade in a dual enrollment class","Deleted":false}],"TitleText":"","DisableControls":false,"Deleted":false,"RepealItems":[],"SectionBookmarkName":"bs_num_1_97159040a"},{"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30a61247-a06b-450e-87fe-27bbc72c65a9","SectionName":"code_section","SectionNumber":1,"SectionType":"code_section","CodeSections":[{"CodeSectionBookmarkName":"cs_T59C149N50_3233b70ab","IsConstitutionSection":false,"Identity":"59-149-50","IsNew":false,"SubSections":[{"Level":1,"Identity":"T59C149N50SB","SubSectionBookmarkName":"ss_T59C149N50SB_lv1_9d6f8ec9b","IsNewSubSection":false}],"TitleRelatedTo":"GRADE POINT AVERAGE REQUIREMENTS FOR LIFE SCHOLARSHIP ELIGIBILITY AND RETENTION","TitleSoAsTo":"PROVIDE A student who becomes eligible for a LIFE Scholarship may not subsequently become ineligible for retention of the scholarship based on a grade in a dual enrollment class","Deleted":false}],"TitleText":"","DisableControls":false,"Deleted":false,"RepealItems":[],"SectionBookmarkName":"bs_num_1_97159040a"},{"SectionUUID":"8f03ca95-8faa-4d43-a9c2-8afc498075bd","SectionName":"standard_eff_date_section","SectionNumber":2,"SectionType":"drafting_clause","CodeSections":[],"TitleText":"","DisableControls":false,"Deleted":false,"RepealItems":[],"SectionBookmarkName":"bs_num_2_lastsection"}],"Timestamp":"2023-03-08T14:38:00.1672616-05:00","Username":null},{"Id":3,"SectionsList":[{"SectionUUID":"8f03ca95-8faa-4d43-a9c2-8afc498075bd","SectionName":"standard_eff_date_section","SectionNumber":2,"SectionType":"drafting_clause","CodeSections":[],"TitleText":"","DisableControls":false,"Deleted":false,"RepealItems":[],"SectionBookmarkName":"bs_num_2_lastsection"},{"SectionUUID":"30a61247-a06b-450e-87fe-27bbc72c65a9","SectionName":"code_section","SectionNumber":1,"SectionType":"code_section","CodeSections":[{"CodeSectionBookmarkName":"cs_T59C149N50_3233b70ab","IsConstitutionSection":false,"Identity":"59-149-50","IsNew":false,"SubSections":[{"Level":1,"Identity":"T59C149N50SB","SubSectionBookmarkName":"ss_T59C149N50SB_lv1_9d6f8ec9b","IsNewSubSection":false}],"TitleRelatedTo":"GRADE POINT AVERAGE REQUIREMENTS FOR LIFE SCHOLARSHIP ELIGIBILITY AND RETENTION","TitleSoAsTo":"PROVIDE A student who becomes eligible for a LIFE Scholarship may not subsequently become ineligible for retention of the scholarship based on a grade in a dual enrollment class","Deleted":false}],"TitleText":"","DisableControls":false,"Deleted":false,"RepealItems":[],"SectionBookmarkName":"bs_num_1_97159040a"}],"Timestamp":"2022-11-29T09:52:18.9633039-05:00","Username":null},{"Id":2,"SectionsList":[{"SectionUUID":"8f03ca95-8faa-4d43-a9c2-8afc498075bd","SectionName":"standard_eff_date_section","SectionNumber":2,"SectionType":"drafting_clause","CodeSections":[],"TitleText":"","DisableControls":false,"Deleted":false,"RepealItems":[],"SectionBookmarkName":"bs_num_2_lastsection"},{"SectionUUID":"30a61247-a06b-450e-87fe-27bbc72c65a9","SectionName":"code_section","SectionNumber":1,"SectionType":"code_section","CodeSections":[{"CodeSectionBookmarkName":"cs_T59C149N50_3233b70ab","IsConstitutionSection":false,"Identity":"59-149-50","IsNew":false,"SubSections":[{"Level":1,"Identity":"T59C149N50SB","SubSectionBookmarkName":"ss_T59C149N50SB_lv1_9d6f8ec9b","IsNewSubSection":false}],"TitleRelatedTo":"GRADE POINT AVERAGE REQUIREMENTS FOR LIFE SCHOLARSHIP ELIGIBILITY AND RETENTION","TitleSoAsTo":"A student who becomes eligible for a LIFE Scholarship may not subsequently become ineligible for retention of the scholarship based on a grade in a dual enrollment class","Deleted":false}],"TitleText":"","DisableControls":false,"Deleted":false,"RepealItems":[],"SectionBookmarkName":"bs_num_1_97159040a"}],"Timestamp":"2022-11-29T09:52:06.3848666-05:00","Username":null},{"Id":1,"SectionsList":[{"SectionUUID":"8f03ca95-8faa-4d43-a9c2-8afc498075bd","SectionName":"standard_eff_date_section","SectionNumber":2,"SectionType":"drafting_clause","CodeSections":[],"TitleText":"","DisableControls":false,"Deleted":false,"RepealItems":[],"SectionBookmarkName":"bs_num_2_lastsection"},{"SectionUUID":"30a61247-a06b-450e-87fe-27bbc72c65a9","SectionName":"code_section","SectionNumber":1,"SectionType":"code_section","CodeSections":[{"CodeSectionBookmarkName":"cs_T59C149N50_3233b70ab","IsConstitutionSection":false,"Identity":"59-149-50","IsNew":false,"SubSections":[{"Level":1,"Identity":"T59C149N50SB","SubSectionBookmarkName":"ss_T59C149N50SB_lv1_9d6f8ec9b","IsNewSubSection":false}],"TitleRelatedTo":"Graduating classes covered;  cumulative grade point average requirements;  regaining eligibility;  eligibility for freshman beginning 2002-2003.","TitleSoAsTo":"","Deleted":false}],"TitleText":"","DisableControls":false,"Deleted":false,"RepealItems":[],"SectionBookmarkName":"bs_num_1_97159040a"}],"Timestamp":"2022-11-29T09:51:04.9804835-05:00","Username":null},{"Id":5,"SectionsList":[{"SectionUUID":"30a61247-a06b-450e-87fe-27bbc72c65a9","SectionName":"code_section","SectionNumber":1,"SectionType":"code_section","CodeSections":[{"CodeSectionBookmarkName":"cs_T59C149N50_3233b70ab","IsConstitutionSection":false,"Identity":"59-149-50","IsNew":false,"SubSections":[{"Level":1,"Identity":"T59C149N50SB","SubSectionBookmarkName":"ss_T59C149N50SB_lv1_9d6f8ec9b","IsNewSubSection":false}],"TitleRelatedTo":"GRADE POINT AVERAGE REQUIREMENTS FOR LIFE SCHOLARSHIP ELIGIBILITY AND RETENTION","TitleSoAsTo":"PROVIDE A student who becomes eligible for a LIFE Scholarship may not subsequently become ineligible for retention of the scholarship based on a grade in a dual enrollment class","Deleted":false}],"TitleText":"","DisableControls":false,"Deleted":false,"RepealItems":[],"SectionBookmarkName":"bs_num_1_97159040a"},{"SectionUUID":"8f03ca95-8faa-4d43-a9c2-8afc498075bd","SectionName":"standard_eff_date_section","SectionNumber":2,"SectionType":"drafting_clause","CodeSections":[],"TitleText":"","DisableControls":false,"Deleted":false,"RepealItems":[],"SectionBookmarkName":"bs_num_2_lastsection"}],"Timestamp":"2023-03-08T14:38:01.1827597-05:00","Username":"brentwalling@scsenate.gov"}]</T_BILL_T_SECTIONSHISTORY>
  <T_BILL_T_SUBJECT>LIFE Scholarship eligibility</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1293</Characters>
  <Application>Microsoft Office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Brent Walling</cp:lastModifiedBy>
  <cp:revision>3</cp:revision>
  <cp:lastPrinted>2022-11-29T14:53:00Z</cp:lastPrinted>
  <dcterms:created xsi:type="dcterms:W3CDTF">2023-03-08T22:17:00Z</dcterms:created>
  <dcterms:modified xsi:type="dcterms:W3CDTF">2023-03-08T22:17:00Z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