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McCravy, Henegan and Pope</w:t>
      </w:r>
    </w:p>
    <w:p>
      <w:pPr>
        <w:widowControl w:val="false"/>
        <w:spacing w:after="0"/>
        <w:jc w:val="left"/>
      </w:pPr>
      <w:r>
        <w:rPr>
          <w:rFonts w:ascii="Times New Roman"/>
          <w:sz w:val="22"/>
        </w:rPr>
        <w:t xml:space="preserve">Document Path: LC-0031AHB23.docx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release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95b042a6fbc4674">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d7b400386b343f1">
        <w:r w:rsidRPr="00770434">
          <w:rPr>
            <w:rStyle w:val="Hyperlink"/>
          </w:rPr>
          <w:t>House Journal</w:t>
        </w:r>
        <w:r w:rsidRPr="00770434">
          <w:rPr>
            <w:rStyle w:val="Hyperlink"/>
          </w:rPr>
          <w:noBreakHyphen/>
          <w:t>page 228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515e9b8d5441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45c031c4434b5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061CB" w14:paraId="40FEFADA" w14:textId="2615B3E7">
          <w:pPr>
            <w:pStyle w:val="scbilltitle"/>
            <w:tabs>
              <w:tab w:val="left" w:pos="2104"/>
            </w:tabs>
          </w:pPr>
          <w:r>
            <w:t xml:space="preserve">TO AMEND </w:t>
          </w:r>
          <w:r w:rsidR="00E50EDD">
            <w:t xml:space="preserve">the south carolina </w:t>
          </w:r>
          <w:r>
            <w:t xml:space="preserve">CODE OF LAWS </w:t>
          </w:r>
          <w:r w:rsidR="00E50EDD">
            <w:t>by amending section 16</w:t>
          </w:r>
          <w:r w:rsidR="0066605E">
            <w:t>‑</w:t>
          </w:r>
          <w:r w:rsidR="00E50EDD">
            <w:t>25</w:t>
          </w:r>
          <w:r w:rsidR="0066605E">
            <w:t>‑</w:t>
          </w:r>
          <w:r w:rsidR="00E50EDD">
            <w:t>120,</w:t>
          </w:r>
          <w:r>
            <w:t xml:space="preserve">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sdtContent>
    </w:sdt>
    <w:bookmarkStart w:name="at_28bd9b54c" w:displacedByCustomXml="prev" w:id="1"/>
    <w:bookmarkEnd w:id="1"/>
    <w:p w:rsidRPr="00DF3B44" w:rsidR="006C18F0" w:rsidP="006C18F0" w:rsidRDefault="006C18F0" w14:paraId="5BAAC1B7" w14:textId="77777777">
      <w:pPr>
        <w:pStyle w:val="scbillwhereasclause"/>
      </w:pPr>
    </w:p>
    <w:p w:rsidR="002061CB" w:rsidP="002061CB" w:rsidRDefault="002061CB" w14:paraId="6EDD1ADB" w14:textId="77777777">
      <w:pPr>
        <w:pStyle w:val="scenactingwords"/>
      </w:pPr>
      <w:bookmarkStart w:name="ew_f4d17f40b" w:id="2"/>
      <w:r>
        <w:t>B</w:t>
      </w:r>
      <w:bookmarkEnd w:id="2"/>
      <w:r>
        <w:t>e it enacted by the General Assembly of the State of South Carolina:</w:t>
      </w:r>
    </w:p>
    <w:p w:rsidR="002C4B10" w:rsidP="00FA1CA1" w:rsidRDefault="002C4B10" w14:paraId="42C70293" w14:textId="77777777">
      <w:pPr>
        <w:pStyle w:val="scemptyline"/>
      </w:pPr>
    </w:p>
    <w:p w:rsidR="00C848FC" w:rsidP="00FA1CA1" w:rsidRDefault="005C2784" w14:paraId="3931D93E" w14:textId="011D1A27">
      <w:pPr>
        <w:pStyle w:val="scdirectionallanguage"/>
      </w:pPr>
      <w:bookmarkStart w:name="bs_num_1_6071ebded" w:id="3"/>
      <w:r>
        <w:t>S</w:t>
      </w:r>
      <w:bookmarkEnd w:id="3"/>
      <w:r>
        <w:t>ECTION 1.</w:t>
      </w:r>
      <w:r w:rsidR="002C4B10">
        <w:tab/>
      </w:r>
      <w:bookmarkStart w:name="dl_00ee9a326" w:id="4"/>
      <w:r w:rsidR="00C848FC">
        <w:t>S</w:t>
      </w:r>
      <w:bookmarkEnd w:id="4"/>
      <w:r w:rsidR="00C848FC">
        <w:t>ection 16</w:t>
      </w:r>
      <w:r w:rsidR="00C96657">
        <w:t>‑</w:t>
      </w:r>
      <w:r w:rsidR="00C848FC">
        <w:t>25</w:t>
      </w:r>
      <w:r w:rsidR="00C96657">
        <w:t>‑</w:t>
      </w:r>
      <w:r w:rsidR="00C848FC">
        <w:t xml:space="preserve">120 of the S.C. Code is amended by </w:t>
      </w:r>
      <w:r w:rsidR="00662538">
        <w:t>a</w:t>
      </w:r>
      <w:r w:rsidR="005A0E97">
        <w:t xml:space="preserve">dding a </w:t>
      </w:r>
      <w:r w:rsidR="00662538">
        <w:t>subsection to read:</w:t>
      </w:r>
    </w:p>
    <w:p w:rsidR="00C848FC" w:rsidP="00FA1CA1" w:rsidRDefault="00C848FC" w14:paraId="58FB6944" w14:textId="77777777">
      <w:pPr>
        <w:pStyle w:val="scemptyline"/>
      </w:pPr>
    </w:p>
    <w:p w:rsidR="005C2784" w:rsidP="00C96657" w:rsidRDefault="00C848FC" w14:paraId="797EAE8E" w14:textId="3A58ED90">
      <w:pPr>
        <w:pStyle w:val="scnewcodesection"/>
      </w:pPr>
      <w:bookmarkStart w:name="ns_T16C25N120_97fe8fa3f" w:id="5"/>
      <w:r>
        <w:tab/>
      </w:r>
      <w:bookmarkStart w:name="ss_T16C25N120SE_lv1_8738804e9" w:id="6"/>
      <w:bookmarkEnd w:id="5"/>
      <w:r>
        <w:t>(</w:t>
      </w:r>
      <w:bookmarkEnd w:id="6"/>
      <w:r>
        <w:t>E)</w:t>
      </w:r>
      <w:bookmarkStart w:name="ss_T16C25N120S1_lv2_64b169161" w:id="7"/>
      <w:r w:rsidR="005C2784">
        <w:t>(</w:t>
      </w:r>
      <w:bookmarkEnd w:id="7"/>
      <w:r w:rsidR="005C2784">
        <w:t xml:space="preserve">1) The court, in its discretion, may place a person charged with a violation of this article on surveillance via an active electronic monitoring device in lieu of setting or requiring the posting of bond or as an additional condition of release on bond. The device must be capable of </w:t>
      </w:r>
      <w:proofErr w:type="gramStart"/>
      <w:r w:rsidR="005C2784">
        <w:t>recording the person’s immediate location at all times</w:t>
      </w:r>
      <w:proofErr w:type="gramEnd"/>
      <w:r w:rsidR="005C2784">
        <w:t xml:space="preserve"> and the victim must be provided access to determine the immediate location of the person at all times. The appropriate law enforcement agency with jurisdiction over the offense shall place the person on an active electronic monitoring device and shall ensure the provisions of this section are followed.  </w:t>
      </w:r>
    </w:p>
    <w:p w:rsidR="005C2784" w:rsidP="005C2784" w:rsidRDefault="005C2784" w14:paraId="0BFB76AC" w14:textId="77777777">
      <w:pPr>
        <w:pStyle w:val="scnewcodesection"/>
      </w:pPr>
      <w:r>
        <w:tab/>
        <w:t>The person monitored:</w:t>
      </w:r>
    </w:p>
    <w:p w:rsidR="005C2784" w:rsidP="005C2784" w:rsidRDefault="005C2784" w14:paraId="49046C57" w14:textId="77777777">
      <w:pPr>
        <w:pStyle w:val="scnewcodesection"/>
      </w:pPr>
      <w:r>
        <w:tab/>
      </w:r>
      <w:r>
        <w:tab/>
      </w:r>
      <w:r>
        <w:tab/>
      </w:r>
      <w:bookmarkStart w:name="ss_T16C25N120Sa_lv3_ab4e28bc6" w:id="8"/>
      <w:r>
        <w:t>(</w:t>
      </w:r>
      <w:bookmarkEnd w:id="8"/>
      <w:r>
        <w:t xml:space="preserve">a) shall follow instructions provided by appropriate law enforcement agency with jurisdiction over the offense to maintain the active electronic monitoring device in working order. Incidental damage or defacement of the active electronic monitoring device must be reported to the appropriate law enforcement agency with jurisdiction over the offense within two hours. A person who fails to comply with the reporting requirement of this subsection must be punished in the discretion of the </w:t>
      </w:r>
      <w:proofErr w:type="gramStart"/>
      <w:r>
        <w:t>court;</w:t>
      </w:r>
      <w:proofErr w:type="gramEnd"/>
    </w:p>
    <w:p w:rsidR="005C2784" w:rsidP="005C2784" w:rsidRDefault="005C2784" w14:paraId="49BD26DD" w14:textId="77777777">
      <w:pPr>
        <w:pStyle w:val="scnewcodesection"/>
      </w:pPr>
      <w:r>
        <w:tab/>
      </w:r>
      <w:r>
        <w:tab/>
      </w:r>
      <w:r>
        <w:tab/>
      </w:r>
      <w:bookmarkStart w:name="ss_T16C25N120Sb_lv3_274f23877" w:id="9"/>
      <w:r>
        <w:t>(</w:t>
      </w:r>
      <w:bookmarkEnd w:id="9"/>
      <w:r>
        <w:t xml:space="preserve">b) shall abide by other terms and conditions set forth by the appropriate law enforcement agency with jurisdiction over the offense with regard to the active electronic monitoring device and electronic monitoring </w:t>
      </w:r>
      <w:proofErr w:type="gramStart"/>
      <w:r>
        <w:t>program;</w:t>
      </w:r>
      <w:proofErr w:type="gramEnd"/>
    </w:p>
    <w:p w:rsidR="005C2784" w:rsidP="005C2784" w:rsidRDefault="005C2784" w14:paraId="7888BD48" w14:textId="77777777">
      <w:pPr>
        <w:pStyle w:val="scnewcodesection"/>
      </w:pPr>
      <w:r>
        <w:lastRenderedPageBreak/>
        <w:tab/>
      </w:r>
      <w:r>
        <w:tab/>
      </w:r>
      <w:r>
        <w:tab/>
      </w:r>
      <w:bookmarkStart w:name="ss_T16C25N120Sc_lv3_24eb66128" w:id="10"/>
      <w:r>
        <w:t>(</w:t>
      </w:r>
      <w:bookmarkEnd w:id="10"/>
      <w:r>
        <w:t xml:space="preserve">c) must be charged for the cost of the active electronic monitoring device and the operation of the active electronic monitoring device for the duration of the time the person is required to be electronically monitored. The appropriate law enforcement agency with jurisdiction over the offense may exempt a person from the payment of a part or </w:t>
      </w:r>
      <w:proofErr w:type="gramStart"/>
      <w:r>
        <w:t>all of</w:t>
      </w:r>
      <w:proofErr w:type="gramEnd"/>
      <w:r>
        <w:t xml:space="preserve"> the cost during a part or all of the duration of the time the person is required to be electronically monitored, if it is determined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appropriate law enforcement agency with jurisdiction over the offense, carried forward, and applied to support the active electronic monitoring of domestic violence </w:t>
      </w:r>
      <w:proofErr w:type="gramStart"/>
      <w:r>
        <w:t>offenders;</w:t>
      </w:r>
      <w:proofErr w:type="gramEnd"/>
    </w:p>
    <w:p w:rsidR="005C2784" w:rsidP="005C2784" w:rsidRDefault="005C2784" w14:paraId="30D25A8F" w14:textId="77777777">
      <w:pPr>
        <w:pStyle w:val="scnewcodesection"/>
      </w:pPr>
      <w:r>
        <w:tab/>
      </w:r>
      <w:r>
        <w:tab/>
      </w:r>
      <w:r>
        <w:tab/>
      </w:r>
      <w:bookmarkStart w:name="ss_T16C25N120Sd_lv3_1dc5a8a54" w:id="11"/>
      <w:r>
        <w:t>(</w:t>
      </w:r>
      <w:bookmarkEnd w:id="11"/>
      <w:r>
        <w:t>d) who intentionally removes, tampers with, defaces, alters, damages, or destroys an active electronic monitoring device must be punished in the discretion of the court. This subsection does not apply to a person or agent authorized by the appropriate law enforcement agency to perform maintenance and repairs to the active electronic monitoring devices.</w:t>
      </w:r>
    </w:p>
    <w:p w:rsidR="002C4B10" w:rsidP="005C2784" w:rsidRDefault="005C2784" w14:paraId="7D8EE36F" w14:textId="04B97EE8">
      <w:pPr>
        <w:pStyle w:val="scnewcodesection"/>
      </w:pPr>
      <w:r>
        <w:tab/>
      </w:r>
      <w:r>
        <w:tab/>
      </w:r>
      <w:bookmarkStart w:name="ss_T16C25N120S2_lv2_53e4fe647" w:id="12"/>
      <w:r>
        <w:t>(</w:t>
      </w:r>
      <w:bookmarkEnd w:id="12"/>
      <w:r>
        <w:t xml:space="preserve">2) As used in this subsection, </w:t>
      </w:r>
      <w:r w:rsidR="00073E18">
        <w:t>“</w:t>
      </w:r>
      <w:r>
        <w:t>active electronic monitoring device</w:t>
      </w:r>
      <w:r w:rsidR="00073E18">
        <w:t>”</w:t>
      </w:r>
      <w:r>
        <w:t xml:space="preserve"> means an all‑body worn device that is not removed from the person’s body utilized by the appropriate law enforcement agency with jurisdiction over the offense in conjunction with a web‑based computer system that actively monitors and records a person’s location at least once every minute twenty‑four hours a day and that timely records and reports the person’s presence near or within a prohibited area or the person’s departure from a specified geographic location. In addition, the device must be resistant or impervious to unintentional or </w:t>
      </w:r>
      <w:proofErr w:type="spellStart"/>
      <w:r>
        <w:t>wilful</w:t>
      </w:r>
      <w:proofErr w:type="spellEnd"/>
      <w:r>
        <w:t xml:space="preserve"> </w:t>
      </w:r>
      <w:proofErr w:type="gramStart"/>
      <w:r>
        <w:t>damages</w:t>
      </w:r>
      <w:proofErr w:type="gramEnd"/>
      <w:r>
        <w:t>. In areas of the State where cellular coverage requires the use of an alternate device, the appropriate law enforcement agency may use an alternate device.</w:t>
      </w:r>
    </w:p>
    <w:p w:rsidR="002061CB" w:rsidP="00FA1CA1" w:rsidRDefault="002061CB" w14:paraId="517BB7AF" w14:textId="67BA9FBC">
      <w:pPr>
        <w:pStyle w:val="scemptyline"/>
      </w:pPr>
    </w:p>
    <w:p w:rsidR="002061CB" w:rsidP="002061CB" w:rsidRDefault="005C2784" w14:paraId="1242977C" w14:textId="5293F0AC">
      <w:pPr>
        <w:pStyle w:val="scnoncodifiedsection"/>
      </w:pPr>
      <w:bookmarkStart w:name="eff_date_section" w:id="13"/>
      <w:bookmarkStart w:name="bs_num_2_lastsection" w:id="14"/>
      <w:bookmarkEnd w:id="13"/>
      <w:r>
        <w:t>S</w:t>
      </w:r>
      <w:bookmarkEnd w:id="14"/>
      <w:r>
        <w:t>ECTION 2.</w:t>
      </w:r>
      <w:r w:rsidR="002061CB">
        <w:tab/>
        <w:t>This act takes effect upon approval by the Governor.</w:t>
      </w:r>
    </w:p>
    <w:p w:rsidRPr="00DF3B44" w:rsidR="005516F6" w:rsidP="009E4191" w:rsidRDefault="002061CB" w14:paraId="7389F665" w14:textId="0CC14DCD">
      <w:pPr>
        <w:pStyle w:val="scbillendxx"/>
      </w:pPr>
      <w:r>
        <w:noBreakHyphen/>
      </w:r>
      <w:r>
        <w:noBreakHyphen/>
      </w:r>
      <w:r>
        <w:noBreakHyphen/>
      </w:r>
      <w:r>
        <w:noBreakHyphen/>
        <w:t>XX</w:t>
      </w:r>
      <w:r>
        <w:noBreakHyphen/>
      </w:r>
      <w:r>
        <w:noBreakHyphen/>
      </w:r>
      <w:r>
        <w:noBreakHyphen/>
      </w:r>
      <w:r>
        <w:noBreakHyphen/>
      </w:r>
    </w:p>
    <w:sectPr w:rsidRPr="00DF3B44" w:rsidR="005516F6" w:rsidSect="00DD0F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977C91" w:rsidR="00685035" w:rsidRPr="007B4AF7" w:rsidRDefault="005F15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5704">
              <w:t>[3002]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570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13A"/>
    <w:rsid w:val="0006464F"/>
    <w:rsid w:val="00066B54"/>
    <w:rsid w:val="00072FCD"/>
    <w:rsid w:val="00073E18"/>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1D9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1CB"/>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4B10"/>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74D"/>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CF4"/>
    <w:rsid w:val="00523F7F"/>
    <w:rsid w:val="00524D54"/>
    <w:rsid w:val="00543B72"/>
    <w:rsid w:val="0054531B"/>
    <w:rsid w:val="00546C24"/>
    <w:rsid w:val="005476FF"/>
    <w:rsid w:val="005516F6"/>
    <w:rsid w:val="00552842"/>
    <w:rsid w:val="00554E89"/>
    <w:rsid w:val="00572281"/>
    <w:rsid w:val="005801DD"/>
    <w:rsid w:val="00592A40"/>
    <w:rsid w:val="005A0E97"/>
    <w:rsid w:val="005A28BC"/>
    <w:rsid w:val="005A5377"/>
    <w:rsid w:val="005B7817"/>
    <w:rsid w:val="005C06C8"/>
    <w:rsid w:val="005C23D7"/>
    <w:rsid w:val="005C2784"/>
    <w:rsid w:val="005C40EB"/>
    <w:rsid w:val="005D02B4"/>
    <w:rsid w:val="005D3013"/>
    <w:rsid w:val="005E1E50"/>
    <w:rsid w:val="005E2B9C"/>
    <w:rsid w:val="005E3332"/>
    <w:rsid w:val="005F150A"/>
    <w:rsid w:val="005F76B0"/>
    <w:rsid w:val="00604429"/>
    <w:rsid w:val="006067B0"/>
    <w:rsid w:val="00606A8B"/>
    <w:rsid w:val="00611EBA"/>
    <w:rsid w:val="006213A8"/>
    <w:rsid w:val="00623BEA"/>
    <w:rsid w:val="006347E9"/>
    <w:rsid w:val="00640C87"/>
    <w:rsid w:val="006454BB"/>
    <w:rsid w:val="00657CF4"/>
    <w:rsid w:val="00662538"/>
    <w:rsid w:val="00663B8D"/>
    <w:rsid w:val="00663E00"/>
    <w:rsid w:val="00664F48"/>
    <w:rsid w:val="00664FAD"/>
    <w:rsid w:val="0066605E"/>
    <w:rsid w:val="0067345B"/>
    <w:rsid w:val="00683986"/>
    <w:rsid w:val="00685035"/>
    <w:rsid w:val="00685770"/>
    <w:rsid w:val="006964F9"/>
    <w:rsid w:val="006A395F"/>
    <w:rsid w:val="006A65E2"/>
    <w:rsid w:val="006B37BD"/>
    <w:rsid w:val="006B711A"/>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54F8"/>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3BB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704"/>
    <w:rsid w:val="00BE08A7"/>
    <w:rsid w:val="00BE4391"/>
    <w:rsid w:val="00BF3E48"/>
    <w:rsid w:val="00C15F1B"/>
    <w:rsid w:val="00C16288"/>
    <w:rsid w:val="00C17D1D"/>
    <w:rsid w:val="00C45923"/>
    <w:rsid w:val="00C543E7"/>
    <w:rsid w:val="00C70225"/>
    <w:rsid w:val="00C72198"/>
    <w:rsid w:val="00C73C7D"/>
    <w:rsid w:val="00C75005"/>
    <w:rsid w:val="00C848FC"/>
    <w:rsid w:val="00C9665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0FBB"/>
    <w:rsid w:val="00DE4BEE"/>
    <w:rsid w:val="00DE5B3D"/>
    <w:rsid w:val="00DE7112"/>
    <w:rsid w:val="00DF19BE"/>
    <w:rsid w:val="00DF3B44"/>
    <w:rsid w:val="00E1372E"/>
    <w:rsid w:val="00E20AE3"/>
    <w:rsid w:val="00E21D30"/>
    <w:rsid w:val="00E24D9A"/>
    <w:rsid w:val="00E27805"/>
    <w:rsid w:val="00E27A11"/>
    <w:rsid w:val="00E30497"/>
    <w:rsid w:val="00E358A2"/>
    <w:rsid w:val="00E35C9A"/>
    <w:rsid w:val="00E3771B"/>
    <w:rsid w:val="00E40979"/>
    <w:rsid w:val="00E43F26"/>
    <w:rsid w:val="00E50ED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91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1CA1"/>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BB3"/>
    <w:rPr>
      <w:lang w:val="en-US"/>
    </w:rPr>
  </w:style>
  <w:style w:type="character" w:default="1" w:styleId="DefaultParagraphFont">
    <w:name w:val="Default Paragraph Font"/>
    <w:uiPriority w:val="1"/>
    <w:semiHidden/>
    <w:unhideWhenUsed/>
    <w:rsid w:val="00B43B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BB3"/>
  </w:style>
  <w:style w:type="character" w:styleId="LineNumber">
    <w:name w:val="line number"/>
    <w:uiPriority w:val="99"/>
    <w:semiHidden/>
    <w:unhideWhenUsed/>
    <w:rsid w:val="00B43BB3"/>
    <w:rPr>
      <w:rFonts w:ascii="Times New Roman" w:hAnsi="Times New Roman"/>
      <w:b w:val="0"/>
      <w:i w:val="0"/>
      <w:sz w:val="22"/>
    </w:rPr>
  </w:style>
  <w:style w:type="paragraph" w:styleId="NoSpacing">
    <w:name w:val="No Spacing"/>
    <w:uiPriority w:val="1"/>
    <w:qFormat/>
    <w:rsid w:val="00B43BB3"/>
    <w:pPr>
      <w:spacing w:after="0" w:line="240" w:lineRule="auto"/>
    </w:pPr>
  </w:style>
  <w:style w:type="paragraph" w:customStyle="1" w:styleId="scemptylineheader">
    <w:name w:val="sc_emptyline_header"/>
    <w:qFormat/>
    <w:rsid w:val="00B43B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3B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3B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3B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3B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3BB3"/>
    <w:rPr>
      <w:color w:val="808080"/>
    </w:rPr>
  </w:style>
  <w:style w:type="paragraph" w:customStyle="1" w:styleId="scdirectionallanguage">
    <w:name w:val="sc_directional_language"/>
    <w:qFormat/>
    <w:rsid w:val="00B43B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3B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3B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3B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3B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3B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3B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3B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3B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3B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3B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3B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3B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3B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3B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3B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3BB3"/>
    <w:rPr>
      <w:rFonts w:ascii="Times New Roman" w:hAnsi="Times New Roman"/>
      <w:color w:val="auto"/>
      <w:sz w:val="22"/>
    </w:rPr>
  </w:style>
  <w:style w:type="paragraph" w:customStyle="1" w:styleId="scclippagebillheader">
    <w:name w:val="sc_clip_page_bill_header"/>
    <w:qFormat/>
    <w:rsid w:val="00B43B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3B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3B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3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BB3"/>
    <w:rPr>
      <w:lang w:val="en-US"/>
    </w:rPr>
  </w:style>
  <w:style w:type="paragraph" w:styleId="Footer">
    <w:name w:val="footer"/>
    <w:basedOn w:val="Normal"/>
    <w:link w:val="FooterChar"/>
    <w:uiPriority w:val="99"/>
    <w:unhideWhenUsed/>
    <w:rsid w:val="00B43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BB3"/>
    <w:rPr>
      <w:lang w:val="en-US"/>
    </w:rPr>
  </w:style>
  <w:style w:type="paragraph" w:styleId="ListParagraph">
    <w:name w:val="List Paragraph"/>
    <w:basedOn w:val="Normal"/>
    <w:uiPriority w:val="34"/>
    <w:qFormat/>
    <w:rsid w:val="00B43BB3"/>
    <w:pPr>
      <w:ind w:left="720"/>
      <w:contextualSpacing/>
    </w:pPr>
  </w:style>
  <w:style w:type="paragraph" w:customStyle="1" w:styleId="scbillfooter">
    <w:name w:val="sc_bill_footer"/>
    <w:qFormat/>
    <w:rsid w:val="00B43B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3B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3B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3B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3B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3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3BB3"/>
    <w:pPr>
      <w:widowControl w:val="0"/>
      <w:suppressAutoHyphens/>
      <w:spacing w:after="0" w:line="360" w:lineRule="auto"/>
    </w:pPr>
    <w:rPr>
      <w:rFonts w:ascii="Times New Roman" w:hAnsi="Times New Roman"/>
      <w:lang w:val="en-US"/>
    </w:rPr>
  </w:style>
  <w:style w:type="paragraph" w:customStyle="1" w:styleId="sctableln">
    <w:name w:val="sc_table_ln"/>
    <w:qFormat/>
    <w:rsid w:val="00B43B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3B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3BB3"/>
    <w:rPr>
      <w:strike/>
      <w:dstrike w:val="0"/>
    </w:rPr>
  </w:style>
  <w:style w:type="character" w:customStyle="1" w:styleId="scinsert">
    <w:name w:val="sc_insert"/>
    <w:uiPriority w:val="1"/>
    <w:qFormat/>
    <w:rsid w:val="00B43BB3"/>
    <w:rPr>
      <w:caps w:val="0"/>
      <w:smallCaps w:val="0"/>
      <w:strike w:val="0"/>
      <w:dstrike w:val="0"/>
      <w:vanish w:val="0"/>
      <w:u w:val="single"/>
      <w:vertAlign w:val="baseline"/>
    </w:rPr>
  </w:style>
  <w:style w:type="character" w:customStyle="1" w:styleId="scinsertred">
    <w:name w:val="sc_insert_red"/>
    <w:uiPriority w:val="1"/>
    <w:qFormat/>
    <w:rsid w:val="00B43BB3"/>
    <w:rPr>
      <w:caps w:val="0"/>
      <w:smallCaps w:val="0"/>
      <w:strike w:val="0"/>
      <w:dstrike w:val="0"/>
      <w:vanish w:val="0"/>
      <w:color w:val="FF0000"/>
      <w:u w:val="single"/>
      <w:vertAlign w:val="baseline"/>
    </w:rPr>
  </w:style>
  <w:style w:type="character" w:customStyle="1" w:styleId="scinsertblue">
    <w:name w:val="sc_insert_blue"/>
    <w:uiPriority w:val="1"/>
    <w:qFormat/>
    <w:rsid w:val="00B43BB3"/>
    <w:rPr>
      <w:caps w:val="0"/>
      <w:smallCaps w:val="0"/>
      <w:strike w:val="0"/>
      <w:dstrike w:val="0"/>
      <w:vanish w:val="0"/>
      <w:color w:val="0070C0"/>
      <w:u w:val="single"/>
      <w:vertAlign w:val="baseline"/>
    </w:rPr>
  </w:style>
  <w:style w:type="character" w:customStyle="1" w:styleId="scstrikered">
    <w:name w:val="sc_strike_red"/>
    <w:uiPriority w:val="1"/>
    <w:qFormat/>
    <w:rsid w:val="00B43BB3"/>
    <w:rPr>
      <w:strike/>
      <w:dstrike w:val="0"/>
      <w:color w:val="FF0000"/>
    </w:rPr>
  </w:style>
  <w:style w:type="character" w:customStyle="1" w:styleId="scstrikeblue">
    <w:name w:val="sc_strike_blue"/>
    <w:uiPriority w:val="1"/>
    <w:qFormat/>
    <w:rsid w:val="00B43BB3"/>
    <w:rPr>
      <w:strike/>
      <w:dstrike w:val="0"/>
      <w:color w:val="0070C0"/>
    </w:rPr>
  </w:style>
  <w:style w:type="character" w:customStyle="1" w:styleId="scinsertbluenounderline">
    <w:name w:val="sc_insert_blue_no_underline"/>
    <w:uiPriority w:val="1"/>
    <w:qFormat/>
    <w:rsid w:val="00B43B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3B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3BB3"/>
    <w:rPr>
      <w:strike/>
      <w:dstrike w:val="0"/>
      <w:color w:val="0070C0"/>
      <w:lang w:val="en-US"/>
    </w:rPr>
  </w:style>
  <w:style w:type="character" w:customStyle="1" w:styleId="scstrikerednoncodified">
    <w:name w:val="sc_strike_red_non_codified"/>
    <w:uiPriority w:val="1"/>
    <w:qFormat/>
    <w:rsid w:val="00B43BB3"/>
    <w:rPr>
      <w:strike/>
      <w:dstrike w:val="0"/>
      <w:color w:val="FF0000"/>
    </w:rPr>
  </w:style>
  <w:style w:type="paragraph" w:customStyle="1" w:styleId="scbillsiglines">
    <w:name w:val="sc_bill_sig_lines"/>
    <w:qFormat/>
    <w:rsid w:val="00B43B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3BB3"/>
    <w:rPr>
      <w:bdr w:val="none" w:sz="0" w:space="0" w:color="auto"/>
      <w:shd w:val="clear" w:color="auto" w:fill="FEC6C6"/>
    </w:rPr>
  </w:style>
  <w:style w:type="paragraph" w:styleId="Revision">
    <w:name w:val="Revision"/>
    <w:hidden/>
    <w:uiPriority w:val="99"/>
    <w:semiHidden/>
    <w:rsid w:val="00E50EDD"/>
    <w:pPr>
      <w:spacing w:after="0" w:line="240" w:lineRule="auto"/>
    </w:pPr>
    <w:rPr>
      <w:lang w:val="en-US"/>
    </w:rPr>
  </w:style>
  <w:style w:type="character" w:customStyle="1" w:styleId="screstoreblue">
    <w:name w:val="sc_restore_blue"/>
    <w:uiPriority w:val="1"/>
    <w:qFormat/>
    <w:rsid w:val="00B43BB3"/>
    <w:rPr>
      <w:color w:val="4472C4" w:themeColor="accent1"/>
      <w:bdr w:val="none" w:sz="0" w:space="0" w:color="auto"/>
      <w:shd w:val="clear" w:color="auto" w:fill="auto"/>
    </w:rPr>
  </w:style>
  <w:style w:type="character" w:customStyle="1" w:styleId="screstorered">
    <w:name w:val="sc_restore_red"/>
    <w:uiPriority w:val="1"/>
    <w:qFormat/>
    <w:rsid w:val="00B43BB3"/>
    <w:rPr>
      <w:color w:val="FF0000"/>
      <w:bdr w:val="none" w:sz="0" w:space="0" w:color="auto"/>
      <w:shd w:val="clear" w:color="auto" w:fill="auto"/>
    </w:rPr>
  </w:style>
  <w:style w:type="character" w:customStyle="1" w:styleId="scstrikenewblue">
    <w:name w:val="sc_strike_new_blue"/>
    <w:uiPriority w:val="1"/>
    <w:qFormat/>
    <w:rsid w:val="00B43BB3"/>
    <w:rPr>
      <w:strike w:val="0"/>
      <w:dstrike/>
      <w:color w:val="0070C0"/>
      <w:u w:val="none"/>
    </w:rPr>
  </w:style>
  <w:style w:type="character" w:customStyle="1" w:styleId="scstrikenewred">
    <w:name w:val="sc_strike_new_red"/>
    <w:uiPriority w:val="1"/>
    <w:qFormat/>
    <w:rsid w:val="00B43BB3"/>
    <w:rPr>
      <w:strike w:val="0"/>
      <w:dstrike/>
      <w:color w:val="FF0000"/>
      <w:u w:val="none"/>
    </w:rPr>
  </w:style>
  <w:style w:type="character" w:customStyle="1" w:styleId="scamendsenate">
    <w:name w:val="sc_amend_senate"/>
    <w:uiPriority w:val="1"/>
    <w:qFormat/>
    <w:rsid w:val="00B43BB3"/>
    <w:rPr>
      <w:bdr w:val="none" w:sz="0" w:space="0" w:color="auto"/>
      <w:shd w:val="clear" w:color="auto" w:fill="FFF2CC" w:themeFill="accent4" w:themeFillTint="33"/>
    </w:rPr>
  </w:style>
  <w:style w:type="character" w:customStyle="1" w:styleId="scamendhouse">
    <w:name w:val="sc_amend_house"/>
    <w:uiPriority w:val="1"/>
    <w:qFormat/>
    <w:rsid w:val="00B43BB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2&amp;session=125&amp;summary=B" TargetMode="External" Id="R61515e9b8d544139" /><Relationship Type="http://schemas.openxmlformats.org/officeDocument/2006/relationships/hyperlink" Target="https://www.scstatehouse.gov/sess125_2023-2024/prever/3002_20221208.docx" TargetMode="External" Id="R6445c031c4434b5b" /><Relationship Type="http://schemas.openxmlformats.org/officeDocument/2006/relationships/hyperlink" Target="h:\hj\20230110.docx" TargetMode="External" Id="Rb95b042a6fbc4674" /><Relationship Type="http://schemas.openxmlformats.org/officeDocument/2006/relationships/hyperlink" Target="h:\hj\20230110.docx" TargetMode="External" Id="R3d7b400386b343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D29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a92df24f-77ee-4d8d-94d2-6717314af011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8f5721b8-7361-420d-a39b-73e668876011</T_BILL_REQUEST_REQUEST>
  <T_BILL_R_ORIGINALDRAFT>f3444f67-46e5-463a-813c-c243e4d57366</T_BILL_R_ORIGINALDRAFT>
  <T_BILL_SPONSOR_SPONSOR>3e836d2a-7508-48a9-803b-b336128c6946</T_BILL_SPONSOR_SPONSOR>
  <T_BILL_T_ACTNUMBER>None</T_BILL_T_ACTNUMBER>
  <T_BILL_T_BILLNAME>[3002]</T_BILL_T_BILLNAME>
  <T_BILL_T_BILLNUMBER>3002</T_BILL_T_BILLNUMBER>
  <T_BILL_T_BILLTITLE>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T_BILL_T_BILLTITLE>
  <T_BILL_T_CHAMBER>house</T_BILL_T_CHAMBER>
  <T_BILL_T_FILENAME> </T_BILL_T_FILENAME>
  <T_BILL_T_LEGTYPE>bill_statewide</T_BILL_T_LEGTYPE>
  <T_BILL_T_RATNUMBER>None</T_BILL_T_RATNUMBER>
  <T_BILL_T_SECTIONS>[{"SectionUUID":"a3c6bc5d-10a9-471b-8ff3-fe12ae357e34","SectionName":"code_section","SectionNumber":1,"SectionType":"code_section","CodeSections":[{"CodeSectionBookmarkName":"ns_T16C25N120_97fe8fa3f","IsConstitutionSection":false,"Identity":"16-25-120","IsNew":true,"SubSections":[{"Level":1,"Identity":"T16C25N120SE","SubSectionBookmarkName":"ss_T16C25N120SE_lv1_8738804e9","IsNewSubSection":true,"SubSectionReplacement":""},{"Level":2,"Identity":"T16C25N120S1","SubSectionBookmarkName":"ss_T16C25N120S1_lv2_64b169161","IsNewSubSection":false,"SubSectionReplacement":""},{"Level":3,"Identity":"T16C25N120Sa","SubSectionBookmarkName":"ss_T16C25N120Sa_lv3_ab4e28bc6","IsNewSubSection":false,"SubSectionReplacement":""},{"Level":3,"Identity":"T16C25N120Sb","SubSectionBookmarkName":"ss_T16C25N120Sb_lv3_274f23877","IsNewSubSection":false,"SubSectionReplacement":""},{"Level":3,"Identity":"T16C25N120Sc","SubSectionBookmarkName":"ss_T16C25N120Sc_lv3_24eb66128","IsNewSubSection":false,"SubSectionReplacement":""},{"Level":3,"Identity":"T16C25N120Sd","SubSectionBookmarkName":"ss_T16C25N120Sd_lv3_1dc5a8a54","IsNewSubSection":false,"SubSectionReplacement":""},{"Level":2,"Identity":"T16C25N120S2","SubSectionBookmarkName":"ss_T16C25N120S2_lv2_53e4fe647","IsNewSubSection":false,"SubSectionReplacement":""}],"TitleRelatedTo":"","TitleSoAsTo":"","Deleted":false}],"TitleText":"","DisableControls":false,"Deleted":false,"RepealItems":[],"SectionBookmarkName":"bs_num_1_6071ebded"},{"SectionUUID":"c00d4fc3-3178-456c-981b-2a409c2d0d5d","SectionName":"standard_eff_date_section","SectionNumber":2,"SectionType":"drafting_clause","CodeSections":[],"TitleText":"","DisableControls":false,"Deleted":false,"RepealItems":[],"SectionBookmarkName":"bs_num_2_lastsection"}]</T_BILL_T_SECTIONS>
  <T_BILL_T_SECTIONSHISTORY>[{"Id":5,"SectionsList":[{"SectionUUID":"a3c6bc5d-10a9-471b-8ff3-fe12ae357e34","SectionName":"code_section","SectionNumber":1,"SectionType":"code_section","CodeSections":[{"CodeSectionBookmarkName":"ns_T16C25N120_97fe8fa3f","IsConstitutionSection":false,"Identity":"16-25-120","IsNew":true,"SubSections":[{"Level":1,"Identity":"T16C25N120SE","SubSectionBookmarkName":"ss_T16C25N120SE_lv1_8738804e9","IsNewSubSection":true},{"Level":2,"Identity":"T16C25N120S1","SubSectionBookmarkName":"ss_T16C25N120S1_lv2_64b169161","IsNewSubSection":false},{"Level":3,"Identity":"T16C25N120Sa","SubSectionBookmarkName":"ss_T16C25N120Sa_lv3_ab4e28bc6","IsNewSubSection":false},{"Level":3,"Identity":"T16C25N120Sb","SubSectionBookmarkName":"ss_T16C25N120Sb_lv3_274f23877","IsNewSubSection":false},{"Level":3,"Identity":"T16C25N120Sc","SubSectionBookmarkName":"ss_T16C25N120Sc_lv3_24eb66128","IsNewSubSection":false},{"Level":3,"Identity":"T16C25N120Sd","SubSectionBookmarkName":"ss_T16C25N120Sd_lv3_1dc5a8a54","IsNewSubSection":false},{"Level":2,"Identity":"T16C25N120S2","SubSectionBookmarkName":"ss_T16C25N120S2_lv2_53e4fe647","IsNewSubSection":false}],"TitleRelatedTo":"","TitleSoAsTo":"","Deleted":false}],"TitleText":"","DisableControls":false,"Deleted":false,"SectionBookmarkName":"bs_num_1_6071ebded"},{"SectionUUID":"c00d4fc3-3178-456c-981b-2a409c2d0d5d","SectionName":"standard_eff_date_section","SectionNumber":2,"SectionType":"drafting_clause","CodeSections":[],"TitleText":"","DisableControls":false,"Deleted":false,"SectionBookmarkName":"bs_num_2_lastsection"}],"Timestamp":"2022-10-26T11:30:09.1203194-04:00","Username":null},{"Id":4,"SectionsList":[{"SectionUUID":"c00d4fc3-3178-456c-981b-2a409c2d0d5d","SectionName":"standard_eff_date_section","SectionNumber":2,"SectionType":"drafting_clause","CodeSections":[],"TitleText":"","DisableControls":false,"Deleted":false,"SectionBookmarkName":"bs_num_2_lastsection"},{"SectionUUID":"a3c6bc5d-10a9-471b-8ff3-fe12ae357e34","SectionName":"code_section","SectionNumber":1,"SectionType":"code_section","CodeSections":[{"CodeSectionBookmarkName":"ns_T16C25N120_97fe8fa3f","IsConstitutionSection":false,"Identity":"16-25-120","IsNew":true,"SubSections":[{"Level":1,"Identity":"T16C25N120SE","SubSectionBookmarkName":"ss_T16C25N120SE_lv1_8738804e9","IsNewSubSection":true}],"TitleRelatedTo":"","TitleSoAsTo":"","Deleted":false}],"TitleText":"","DisableControls":false,"Deleted":false,"SectionBookmarkName":"bs_num_1_6071ebded"}],"Timestamp":"2022-10-25T13:10:35.3387119-04:00","Username":null},{"Id":3,"SectionsList":[{"SectionUUID":"b4158d9c-8dc9-4431-bffe-809970612a9d","SectionName":"code_section","SectionNumber":1,"SectionType":"code_section","CodeSections":[{"CodeSectionBookmarkName":"cs_T16C25N120_267f8fe15","IsConstitutionSection":false,"Identity":"16-25-120","IsNew":false,"SubSections":[],"TitleRelatedTo":"Release on bond; factors; issuance of restraining order; notice of right to counsel.","TitleSoAsTo":"","Deleted":false}],"TitleText":"","DisableControls":false,"Deleted":false,"SectionBookmarkName":"bs_num_1_912ea07aa"},{"SectionUUID":"c00d4fc3-3178-456c-981b-2a409c2d0d5d","SectionName":"standard_eff_date_section","SectionNumber":3,"SectionType":"drafting_clause","CodeSections":[],"TitleText":"","DisableControls":false,"Deleted":false,"SectionBookmarkName":"bs_num_3_lastsection"},{"SectionUUID":"a3c6bc5d-10a9-471b-8ff3-fe12ae357e34","SectionName":"code_section","SectionNumber":2,"SectionType":"code_section","CodeSections":[{"CodeSectionBookmarkName":"ns_T16C25N120_97fe8fa3f","IsConstitutionSection":false,"Identity":"16-25-120","IsNew":true,"SubSections":[{"Level":1,"Identity":"T16C25N120SE","SubSectionBookmarkName":"ss_T16C25N120SE_lv1_8738804e9","IsNewSubSection":true}],"TitleRelatedTo":"","TitleSoAsTo":"","Deleted":false}],"TitleText":"","DisableControls":false,"Deleted":false,"SectionBookmarkName":"bs_num_2_6071ebded"}],"Timestamp":"2022-10-25T13:09:34.5335051-04:00","Username":null},{"Id":2,"SectionsList":[{"SectionUUID":"b4158d9c-8dc9-4431-bffe-809970612a9d","SectionName":"code_section","SectionNumber":1,"SectionType":"code_section","CodeSections":[{"CodeSectionBookmarkName":"cs_T16C25N120_267f8fe15","IsConstitutionSection":false,"Identity":"16-25-120","IsNew":false,"SubSections":[],"TitleRelatedTo":"Release on bond; factors; issuance of restraining order; notice of right to counsel.","TitleSoAsTo":"","Deleted":false}],"TitleText":"","DisableControls":false,"Deleted":false,"SectionBookmarkName":"bs_num_1_912ea07aa"},{"SectionUUID":"c00d4fc3-3178-456c-981b-2a409c2d0d5d","SectionName":"standard_eff_date_section","SectionNumber":3,"SectionType":"drafting_clause","CodeSections":[],"TitleText":"","DisableControls":false,"Deleted":false,"SectionBookmarkName":"bs_num_3_lastsection"},{"SectionUUID":"a3c6bc5d-10a9-471b-8ff3-fe12ae357e34","SectionName":"code_section","SectionNumber":2,"SectionType":"code_section","CodeSections":[],"TitleText":"","DisableControls":false,"Deleted":false,"SectionBookmarkName":"bs_num_2_6071ebded"}],"Timestamp":"2022-10-25T13:09:31.8211033-04:00","Username":null},{"Id":1,"SectionsList":[{"SectionUUID":"b4158d9c-8dc9-4431-bffe-809970612a9d","SectionName":"code_section","SectionNumber":1,"SectionType":"code_section","CodeSections":[{"CodeSectionBookmarkName":"cs_T16C25N120_267f8fe15","IsConstitutionSection":false,"Identity":"16-25-120","IsNew":false,"SubSections":[],"TitleRelatedTo":"Release on bond; factors; issuance of restraining order; notice of right to counsel.","TitleSoAsTo":"","Deleted":false}],"TitleText":"","DisableControls":false,"Deleted":false,"SectionBookmarkName":"bs_num_1_912ea07aa"},{"SectionUUID":"c00d4fc3-3178-456c-981b-2a409c2d0d5d","SectionName":"standard_eff_date_section","SectionNumber":2,"SectionType":"drafting_clause","CodeSections":[],"TitleText":"","DisableControls":false,"Deleted":false,"SectionBookmarkName":"bs_num_2_lastsection"}],"Timestamp":"2022-10-25T12:45:27.6104132-04:00","Username":null},{"Id":6,"SectionsList":[{"SectionUUID":"a3c6bc5d-10a9-471b-8ff3-fe12ae357e34","SectionName":"code_section","SectionNumber":1,"SectionType":"code_section","CodeSections":[{"CodeSectionBookmarkName":"ns_T16C25N120_97fe8fa3f","IsConstitutionSection":false,"Identity":"16-25-120","IsNew":true,"SubSections":[{"Level":1,"Identity":"T16C25N120SE","SubSectionBookmarkName":"ss_T16C25N120SE_lv1_8738804e9","IsNewSubSection":true},{"Level":2,"Identity":"T16C25N120S1","SubSectionBookmarkName":"ss_T16C25N120S1_lv2_64b169161","IsNewSubSection":false},{"Level":2,"Identity":"T16C25N120S1","SubSectionBookmarkName":"ss_T16C25N120S1_lv2_a6771aed2","IsNewSubSection":false},{"Level":3,"Identity":"T16C25N120Sa","SubSectionBookmarkName":"ss_T16C25N120Sa_lv3_ab4e28bc6","IsNewSubSection":false},{"Level":3,"Identity":"T16C25N120Sb","SubSectionBookmarkName":"ss_T16C25N120Sb_lv3_274f23877","IsNewSubSection":false},{"Level":3,"Identity":"T16C25N120Sc","SubSectionBookmarkName":"ss_T16C25N120Sc_lv3_24eb66128","IsNewSubSection":false},{"Level":3,"Identity":"T16C25N120Sd","SubSectionBookmarkName":"ss_T16C25N120Sd_lv3_1dc5a8a54","IsNewSubSection":false},{"Level":2,"Identity":"T16C25N120S2","SubSectionBookmarkName":"ss_T16C25N120S2_lv2_53e4fe647","IsNewSubSection":false}],"TitleRelatedTo":"","TitleSoAsTo":"","Deleted":false}],"TitleText":"","DisableControls":false,"Deleted":false,"SectionBookmarkName":"bs_num_1_6071ebded"},{"SectionUUID":"c00d4fc3-3178-456c-981b-2a409c2d0d5d","SectionName":"standard_eff_date_section","SectionNumber":2,"SectionType":"drafting_clause","CodeSections":[],"TitleText":"","DisableControls":false,"Deleted":false,"SectionBookmarkName":"bs_num_2_lastsection"}],"Timestamp":"2022-10-26T15:09:29.1380206-04:00","Username":"nikidowney@scstatehouse.gov"}]</T_BILL_T_SECTIONSHISTORY>
  <T_BILL_T_SUBJECT>Bond release</T_BILL_T_SUBJECT>
  <T_BILL_UR_DRAFTER>ashleyharwellbeach@scstatehouse.gov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3769</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4</cp:revision>
  <cp:lastPrinted>2022-10-25T16:58:00Z</cp:lastPrinted>
  <dcterms:created xsi:type="dcterms:W3CDTF">2024-05-20T21:12:00Z</dcterms:created>
  <dcterms:modified xsi:type="dcterms:W3CDTF">2024-05-20T21:17:00Z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