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and Henegan</w:t>
      </w:r>
    </w:p>
    <w:p>
      <w:pPr>
        <w:widowControl w:val="false"/>
        <w:spacing w:after="0"/>
        <w:jc w:val="left"/>
      </w:pPr>
      <w:r>
        <w:rPr>
          <w:rFonts w:ascii="Times New Roman"/>
          <w:sz w:val="22"/>
        </w:rPr>
        <w:t xml:space="preserve">Document Path: LC-0009AHB23.docx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Firearms criminal background checks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8190d9fb3ed494b">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7dee6f8af744c2e">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2b473c860745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ac4fd7d79945e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75F6B" w14:paraId="40FEFADA" w14:textId="04D1D1E6">
          <w:pPr>
            <w:pStyle w:val="scbilltitle"/>
            <w:tabs>
              <w:tab w:val="left" w:pos="2104"/>
            </w:tabs>
          </w:pPr>
          <w:r>
            <w:t>TO AMEND THE</w:t>
          </w:r>
          <w:r w:rsidR="00291CC7">
            <w:t xml:space="preserve"> south carolina</w:t>
          </w:r>
          <w:r>
            <w:t xml:space="preserve"> CODE OF LAWS BY ADDING ARTICLE 2 TO CHAPTER 31, TITLE 23 SO AS TO REQUIRE A NATIONAL INSTANT CRIMINAL BACKGROUND CHECK BEFORE ANY SALE, EXCHANGE, OR TRANSFER OF A FIREARM IN THIS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w:t>
          </w:r>
        </w:p>
      </w:sdtContent>
    </w:sdt>
    <w:bookmarkStart w:name="at_7901763ff" w:displacedByCustomXml="prev" w:id="0"/>
    <w:bookmarkEnd w:id="0"/>
    <w:p w:rsidRPr="00DF3B44" w:rsidR="006C18F0" w:rsidP="006C18F0" w:rsidRDefault="006C18F0" w14:paraId="5BAAC1B7" w14:textId="77777777">
      <w:pPr>
        <w:pStyle w:val="scbillwhereasclause"/>
      </w:pPr>
    </w:p>
    <w:p w:rsidR="00E75F6B" w:rsidP="00E75F6B" w:rsidRDefault="00E75F6B" w14:paraId="3CF6A932" w14:textId="77777777">
      <w:pPr>
        <w:pStyle w:val="scenactingwords"/>
      </w:pPr>
      <w:bookmarkStart w:name="ew_72216c9b0" w:id="1"/>
      <w:r>
        <w:t>B</w:t>
      </w:r>
      <w:bookmarkEnd w:id="1"/>
      <w:r>
        <w:t>e it enacted by the General Assembly of the State of South Carolina:</w:t>
      </w:r>
    </w:p>
    <w:p w:rsidR="00E75F6B" w:rsidP="00EA7E35" w:rsidRDefault="00E75F6B" w14:paraId="5DC5BD27" w14:textId="77777777">
      <w:pPr>
        <w:pStyle w:val="scemptyline"/>
      </w:pPr>
    </w:p>
    <w:p w:rsidRPr="00EB1E26" w:rsidR="00E75F6B" w:rsidP="00EA7E35" w:rsidRDefault="00E75F6B" w14:paraId="05F660C8" w14:textId="1DED5D8B">
      <w:pPr>
        <w:pStyle w:val="scdirectionallanguage"/>
      </w:pPr>
      <w:bookmarkStart w:name="bs_num_1_597fc021d" w:id="2"/>
      <w:r w:rsidRPr="00EB1E26">
        <w:rPr>
          <w:color w:val="000000" w:themeColor="text1"/>
          <w:u w:color="000000" w:themeColor="text1"/>
        </w:rPr>
        <w:t>S</w:t>
      </w:r>
      <w:bookmarkEnd w:id="2"/>
      <w:r>
        <w:t xml:space="preserve">ECTION </w:t>
      </w:r>
      <w:r w:rsidRPr="00EB1E26">
        <w:rPr>
          <w:color w:val="000000" w:themeColor="text1"/>
          <w:u w:color="000000" w:themeColor="text1"/>
        </w:rPr>
        <w:t>1.</w:t>
      </w:r>
      <w:r>
        <w:tab/>
      </w:r>
      <w:bookmarkStart w:name="dl_3fc91c18d" w:id="3"/>
      <w:r w:rsidRPr="00EB1E26">
        <w:rPr>
          <w:color w:val="000000" w:themeColor="text1"/>
          <w:u w:color="000000" w:themeColor="text1"/>
        </w:rPr>
        <w:t>C</w:t>
      </w:r>
      <w:bookmarkEnd w:id="3"/>
      <w:r>
        <w:t xml:space="preserve">hapter 31, Title 23 of the </w:t>
      </w:r>
      <w:r w:rsidR="00291CC7">
        <w:t>S.C.</w:t>
      </w:r>
      <w:r>
        <w:t xml:space="preserve"> Code is amended by adding:</w:t>
      </w:r>
    </w:p>
    <w:p w:rsidRPr="00EB1E26" w:rsidR="00E75F6B" w:rsidP="00EA7E35" w:rsidRDefault="00E75F6B" w14:paraId="57EB8370" w14:textId="77777777">
      <w:pPr>
        <w:pStyle w:val="scnewcodesection"/>
      </w:pPr>
    </w:p>
    <w:p w:rsidRPr="00EB1E26" w:rsidR="00E75F6B" w:rsidP="00E75F6B" w:rsidRDefault="00E75F6B" w14:paraId="011E5508" w14:textId="77777777">
      <w:pPr>
        <w:pStyle w:val="scnewcodesection"/>
        <w:jc w:val="center"/>
      </w:pPr>
      <w:bookmarkStart w:name="up_d39054800" w:id="4"/>
      <w:r w:rsidRPr="00EB1E26">
        <w:rPr>
          <w:color w:val="000000" w:themeColor="text1"/>
          <w:u w:color="000000" w:themeColor="text1"/>
        </w:rPr>
        <w:t>A</w:t>
      </w:r>
      <w:bookmarkEnd w:id="4"/>
      <w:r w:rsidRPr="00EB1E26">
        <w:rPr>
          <w:color w:val="000000" w:themeColor="text1"/>
          <w:u w:color="000000" w:themeColor="text1"/>
        </w:rPr>
        <w:t>rticle 2</w:t>
      </w:r>
    </w:p>
    <w:p w:rsidRPr="00EB1E26" w:rsidR="00E75F6B" w:rsidP="00E75F6B" w:rsidRDefault="00E75F6B" w14:paraId="03B0B242" w14:textId="77777777">
      <w:pPr>
        <w:pStyle w:val="scnewcodesection"/>
        <w:jc w:val="center"/>
      </w:pPr>
    </w:p>
    <w:p w:rsidRPr="00EB1E26" w:rsidR="00E75F6B" w:rsidP="00E75F6B" w:rsidRDefault="00E75F6B" w14:paraId="2CB330BF" w14:textId="77777777">
      <w:pPr>
        <w:pStyle w:val="scnewcodesection"/>
        <w:jc w:val="center"/>
      </w:pPr>
      <w:bookmarkStart w:name="up_0d743493d" w:id="5"/>
      <w:r w:rsidRPr="00EB1E26">
        <w:rPr>
          <w:color w:val="000000" w:themeColor="text1"/>
          <w:u w:color="000000" w:themeColor="text1"/>
        </w:rPr>
        <w:t>F</w:t>
      </w:r>
      <w:bookmarkEnd w:id="5"/>
      <w:r w:rsidRPr="00EB1E26">
        <w:rPr>
          <w:color w:val="000000" w:themeColor="text1"/>
          <w:u w:color="000000" w:themeColor="text1"/>
        </w:rPr>
        <w:t>irearms Criminal Background Checks</w:t>
      </w:r>
    </w:p>
    <w:p w:rsidRPr="00EB1E26" w:rsidR="00E75F6B" w:rsidP="00EA7E35" w:rsidRDefault="00E75F6B" w14:paraId="7161D925" w14:textId="77777777">
      <w:pPr>
        <w:pStyle w:val="scemptyline"/>
      </w:pPr>
    </w:p>
    <w:p w:rsidRPr="00EB1E26" w:rsidR="00E75F6B" w:rsidP="00E75F6B" w:rsidRDefault="00E75F6B" w14:paraId="51D4657A" w14:textId="3DCE4875">
      <w:pPr>
        <w:pStyle w:val="scnewcodesection"/>
      </w:pPr>
      <w:r>
        <w:tab/>
      </w:r>
      <w:bookmarkStart w:name="ns_T23C31N70_528e52f29" w:id="6"/>
      <w:r w:rsidRPr="00EB1E26">
        <w:rPr>
          <w:color w:val="000000" w:themeColor="text1"/>
          <w:u w:color="000000" w:themeColor="text1"/>
        </w:rPr>
        <w:t>S</w:t>
      </w:r>
      <w:bookmarkEnd w:id="6"/>
      <w:r>
        <w:t>ection 23</w:t>
      </w:r>
      <w:r w:rsidR="001F6DA3">
        <w:rPr>
          <w:color w:val="000000" w:themeColor="text1"/>
          <w:u w:color="000000" w:themeColor="text1"/>
        </w:rPr>
        <w:t>‑</w:t>
      </w:r>
      <w:r w:rsidRPr="00EB1E26">
        <w:rPr>
          <w:color w:val="000000" w:themeColor="text1"/>
          <w:u w:color="000000" w:themeColor="text1"/>
        </w:rPr>
        <w:t>31</w:t>
      </w:r>
      <w:r w:rsidR="001F6DA3">
        <w:rPr>
          <w:color w:val="000000" w:themeColor="text1"/>
          <w:u w:color="000000" w:themeColor="text1"/>
        </w:rPr>
        <w:t>‑</w:t>
      </w:r>
      <w:r w:rsidRPr="00EB1E26">
        <w:rPr>
          <w:color w:val="000000" w:themeColor="text1"/>
          <w:u w:color="000000" w:themeColor="text1"/>
        </w:rPr>
        <w:t>70.</w:t>
      </w:r>
      <w:r w:rsidRPr="00EB1E26">
        <w:rPr>
          <w:color w:val="000000" w:themeColor="text1"/>
          <w:u w:color="000000" w:themeColor="text1"/>
        </w:rPr>
        <w:tab/>
        <w:t>For purposes of this article, the term:</w:t>
      </w:r>
    </w:p>
    <w:p w:rsidRPr="00EB1E26" w:rsidR="00E75F6B" w:rsidP="00E75F6B" w:rsidRDefault="00E75F6B" w14:paraId="5C45D34F" w14:textId="2409B994">
      <w:pPr>
        <w:pStyle w:val="scnewcodesection"/>
      </w:pPr>
      <w:r w:rsidRPr="00EB1E26">
        <w:rPr>
          <w:color w:val="000000" w:themeColor="text1"/>
          <w:u w:color="000000" w:themeColor="text1"/>
        </w:rPr>
        <w:tab/>
      </w:r>
      <w:bookmarkStart w:name="ss_T23C31N70S1_lv1_d70c8eaa2" w:id="7"/>
      <w:r w:rsidRPr="00EB1E26">
        <w:rPr>
          <w:color w:val="000000" w:themeColor="text1"/>
          <w:u w:color="000000" w:themeColor="text1"/>
        </w:rPr>
        <w:t>(</w:t>
      </w:r>
      <w:bookmarkEnd w:id="7"/>
      <w:r w:rsidRPr="00EB1E26">
        <w:rPr>
          <w:color w:val="000000" w:themeColor="text1"/>
          <w:u w:color="000000" w:themeColor="text1"/>
        </w:rPr>
        <w:t>1)</w:t>
      </w:r>
      <w:r w:rsidRPr="00EB1E26">
        <w:t xml:space="preserve"> </w:t>
      </w:r>
      <w:r w:rsidR="00547D94">
        <w:rPr>
          <w:color w:val="000000" w:themeColor="text1"/>
          <w:u w:color="000000" w:themeColor="text1"/>
        </w:rPr>
        <w:t>“</w:t>
      </w:r>
      <w:r w:rsidRPr="00EB1E26">
        <w:rPr>
          <w:color w:val="000000" w:themeColor="text1"/>
          <w:u w:color="000000" w:themeColor="text1"/>
        </w:rPr>
        <w:t>Antique firearm</w:t>
      </w:r>
      <w:r w:rsidR="00547D94">
        <w:rPr>
          <w:color w:val="000000" w:themeColor="text1"/>
          <w:u w:color="000000" w:themeColor="text1"/>
        </w:rPr>
        <w:t>”</w:t>
      </w:r>
      <w:r w:rsidRPr="00EB1E26">
        <w:rPr>
          <w:color w:val="000000" w:themeColor="text1"/>
          <w:u w:color="000000" w:themeColor="text1"/>
        </w:rPr>
        <w:t xml:space="preserve"> means:</w:t>
      </w:r>
    </w:p>
    <w:p w:rsidRPr="00EB1E26" w:rsidR="00E75F6B" w:rsidP="00AF205C" w:rsidRDefault="00E75F6B" w14:paraId="7DC85D4E" w14:textId="3853B722">
      <w:pPr>
        <w:pStyle w:val="scnewcodesection"/>
      </w:pPr>
      <w:r w:rsidRPr="00EB1E26">
        <w:rPr>
          <w:u w:color="000000" w:themeColor="text1"/>
        </w:rPr>
        <w:tab/>
      </w:r>
      <w:r w:rsidRPr="00EB1E26">
        <w:rPr>
          <w:u w:color="000000" w:themeColor="text1"/>
        </w:rPr>
        <w:tab/>
      </w:r>
      <w:bookmarkStart w:name="ss_T23C31N70Sa_lv2_76ae37588" w:id="8"/>
      <w:r w:rsidRPr="00EB1E26">
        <w:rPr>
          <w:u w:color="000000" w:themeColor="text1"/>
        </w:rPr>
        <w:t>(</w:t>
      </w:r>
      <w:bookmarkEnd w:id="8"/>
      <w:r w:rsidRPr="00EB1E26">
        <w:rPr>
          <w:u w:color="000000" w:themeColor="text1"/>
        </w:rPr>
        <w:t>a)</w:t>
      </w:r>
      <w:r w:rsidRPr="00EB1E26">
        <w:t xml:space="preserve"> </w:t>
      </w:r>
      <w:r w:rsidRPr="00EB1E26">
        <w:rPr>
          <w:u w:color="000000" w:themeColor="text1"/>
        </w:rPr>
        <w:t>a firearm, including a firearm with a matchlock, flintlock, percussion cap, or similar type of ignition system, manufactured in or before 1898; and</w:t>
      </w:r>
    </w:p>
    <w:p w:rsidRPr="00EB1E26" w:rsidR="00E75F6B" w:rsidP="00E75F6B" w:rsidRDefault="00E75F6B" w14:paraId="0AB070DA" w14:textId="77777777">
      <w:pPr>
        <w:pStyle w:val="scnewcodesection"/>
      </w:pPr>
      <w:r w:rsidRPr="00EB1E26">
        <w:rPr>
          <w:color w:val="000000" w:themeColor="text1"/>
          <w:u w:color="000000" w:themeColor="text1"/>
        </w:rPr>
        <w:tab/>
      </w:r>
      <w:r w:rsidRPr="00EB1E26">
        <w:rPr>
          <w:color w:val="000000" w:themeColor="text1"/>
          <w:u w:color="000000" w:themeColor="text1"/>
        </w:rPr>
        <w:tab/>
      </w:r>
      <w:bookmarkStart w:name="ss_T23C31N70Sb_lv2_688cc079c" w:id="9"/>
      <w:r w:rsidRPr="00EB1E26">
        <w:rPr>
          <w:color w:val="000000" w:themeColor="text1"/>
          <w:u w:color="000000" w:themeColor="text1"/>
        </w:rPr>
        <w:t>(</w:t>
      </w:r>
      <w:bookmarkEnd w:id="9"/>
      <w:r w:rsidRPr="00EB1E26">
        <w:rPr>
          <w:color w:val="000000" w:themeColor="text1"/>
          <w:u w:color="000000" w:themeColor="text1"/>
        </w:rPr>
        <w:t>b)</w:t>
      </w:r>
      <w:r w:rsidRPr="00EB1E26">
        <w:t xml:space="preserve"> </w:t>
      </w:r>
      <w:r w:rsidRPr="00EB1E26">
        <w:rPr>
          <w:color w:val="000000" w:themeColor="text1"/>
          <w:u w:color="000000" w:themeColor="text1"/>
        </w:rPr>
        <w:t>a replica of a firearm described in subitem (a) if such replica:</w:t>
      </w:r>
    </w:p>
    <w:p w:rsidRPr="00EB1E26" w:rsidR="00E75F6B" w:rsidP="00AF205C" w:rsidRDefault="00E75F6B" w14:paraId="2DE603E2" w14:textId="748A3A29">
      <w:pPr>
        <w:pStyle w:val="scnewcodesection"/>
      </w:pPr>
      <w:r w:rsidRPr="00EB1E26">
        <w:rPr>
          <w:u w:color="000000" w:themeColor="text1"/>
        </w:rPr>
        <w:tab/>
      </w:r>
      <w:r w:rsidRPr="00EB1E26">
        <w:rPr>
          <w:u w:color="000000" w:themeColor="text1"/>
        </w:rPr>
        <w:tab/>
      </w:r>
      <w:r w:rsidRPr="00EB1E26">
        <w:rPr>
          <w:u w:color="000000" w:themeColor="text1"/>
        </w:rPr>
        <w:tab/>
      </w:r>
      <w:bookmarkStart w:name="ss_T23C31N70Si_lv3_3df9af629" w:id="10"/>
      <w:r w:rsidRPr="00EB1E26">
        <w:rPr>
          <w:u w:color="000000" w:themeColor="text1"/>
        </w:rPr>
        <w:t>(</w:t>
      </w:r>
      <w:bookmarkEnd w:id="10"/>
      <w:proofErr w:type="spellStart"/>
      <w:r w:rsidRPr="00EB1E26">
        <w:rPr>
          <w:u w:color="000000" w:themeColor="text1"/>
        </w:rPr>
        <w:t>i</w:t>
      </w:r>
      <w:proofErr w:type="spellEnd"/>
      <w:r w:rsidRPr="00EB1E26">
        <w:rPr>
          <w:u w:color="000000" w:themeColor="text1"/>
        </w:rPr>
        <w:t>)</w:t>
      </w:r>
      <w:r w:rsidRPr="00EB1E26">
        <w:t xml:space="preserve"> </w:t>
      </w:r>
      <w:r w:rsidRPr="00EB1E26">
        <w:rPr>
          <w:u w:color="000000" w:themeColor="text1"/>
        </w:rPr>
        <w:t>is not designed or redesigned for using rimfire or conventional centerfire</w:t>
      </w:r>
      <w:r w:rsidR="001F6DA3">
        <w:rPr>
          <w:u w:color="000000" w:themeColor="text1"/>
        </w:rPr>
        <w:t>‑</w:t>
      </w:r>
      <w:r w:rsidRPr="00EB1E26">
        <w:rPr>
          <w:u w:color="000000" w:themeColor="text1"/>
        </w:rPr>
        <w:t>fixed ammunition; or</w:t>
      </w:r>
    </w:p>
    <w:p w:rsidRPr="00EB1E26" w:rsidR="00E75F6B" w:rsidP="00E75F6B" w:rsidRDefault="00E75F6B" w14:paraId="6C2FC0C7" w14:textId="4A80F134">
      <w:pPr>
        <w:pStyle w:val="scnewcodesection"/>
      </w:pPr>
      <w:r w:rsidRPr="00EB1E26">
        <w:rPr>
          <w:color w:val="000000" w:themeColor="text1"/>
          <w:u w:color="000000" w:themeColor="text1"/>
        </w:rPr>
        <w:tab/>
      </w:r>
      <w:r w:rsidRPr="00EB1E26">
        <w:rPr>
          <w:color w:val="000000" w:themeColor="text1"/>
          <w:u w:color="000000" w:themeColor="text1"/>
        </w:rPr>
        <w:tab/>
      </w:r>
      <w:r w:rsidRPr="00EB1E26">
        <w:rPr>
          <w:color w:val="000000" w:themeColor="text1"/>
          <w:u w:color="000000" w:themeColor="text1"/>
        </w:rPr>
        <w:tab/>
      </w:r>
      <w:bookmarkStart w:name="ss_T23C31N70Sii_lv3_b75addba6" w:id="11"/>
      <w:r w:rsidRPr="00EB1E26">
        <w:rPr>
          <w:color w:val="000000" w:themeColor="text1"/>
          <w:u w:color="000000" w:themeColor="text1"/>
        </w:rPr>
        <w:t>(</w:t>
      </w:r>
      <w:bookmarkEnd w:id="11"/>
      <w:r w:rsidRPr="00EB1E26">
        <w:rPr>
          <w:color w:val="000000" w:themeColor="text1"/>
          <w:u w:color="000000" w:themeColor="text1"/>
        </w:rPr>
        <w:t>ii)</w:t>
      </w:r>
      <w:r w:rsidRPr="00EB1E26">
        <w:t xml:space="preserve"> </w:t>
      </w:r>
      <w:r w:rsidRPr="00EB1E26">
        <w:rPr>
          <w:color w:val="000000" w:themeColor="text1"/>
          <w:u w:color="000000" w:themeColor="text1"/>
        </w:rPr>
        <w:t>uses rimfire or conventional centerfire</w:t>
      </w:r>
      <w:r w:rsidR="001F6DA3">
        <w:rPr>
          <w:color w:val="000000" w:themeColor="text1"/>
          <w:u w:color="000000" w:themeColor="text1"/>
        </w:rPr>
        <w:t>‑</w:t>
      </w:r>
      <w:r w:rsidRPr="00EB1E26">
        <w:rPr>
          <w:color w:val="000000" w:themeColor="text1"/>
          <w:u w:color="000000" w:themeColor="text1"/>
        </w:rPr>
        <w:t>fixed ammunition which is no longer manufactured in the United States and which is not readily available in the ordinary channels of commercial trade.</w:t>
      </w:r>
    </w:p>
    <w:p w:rsidRPr="00EB1E26" w:rsidR="00E75F6B" w:rsidP="00E75F6B" w:rsidRDefault="00E75F6B" w14:paraId="7F037DA9" w14:textId="3E068234">
      <w:pPr>
        <w:pStyle w:val="scnewcodesection"/>
      </w:pPr>
      <w:r w:rsidRPr="00EB1E26">
        <w:rPr>
          <w:color w:val="000000" w:themeColor="text1"/>
          <w:u w:color="000000" w:themeColor="text1"/>
        </w:rPr>
        <w:tab/>
      </w:r>
      <w:bookmarkStart w:name="ss_T23C31N70S2_lv1_1e659c516" w:id="12"/>
      <w:r w:rsidRPr="00EB1E26">
        <w:rPr>
          <w:color w:val="000000" w:themeColor="text1"/>
          <w:u w:color="000000" w:themeColor="text1"/>
        </w:rPr>
        <w:t>(</w:t>
      </w:r>
      <w:bookmarkEnd w:id="12"/>
      <w:r w:rsidRPr="00EB1E26">
        <w:rPr>
          <w:color w:val="000000" w:themeColor="text1"/>
          <w:u w:color="000000" w:themeColor="text1"/>
        </w:rPr>
        <w:t>2)</w:t>
      </w:r>
      <w:r w:rsidRPr="00EB1E26">
        <w:t xml:space="preserve"> </w:t>
      </w:r>
      <w:r w:rsidR="00547D94">
        <w:rPr>
          <w:color w:val="000000" w:themeColor="text1"/>
          <w:u w:color="000000" w:themeColor="text1"/>
        </w:rPr>
        <w:t>“</w:t>
      </w:r>
      <w:r w:rsidRPr="00EB1E26">
        <w:rPr>
          <w:color w:val="000000" w:themeColor="text1"/>
          <w:u w:color="000000" w:themeColor="text1"/>
        </w:rPr>
        <w:t>Firearm</w:t>
      </w:r>
      <w:r w:rsidR="00547D94">
        <w:rPr>
          <w:color w:val="000000" w:themeColor="text1"/>
          <w:u w:color="000000" w:themeColor="text1"/>
        </w:rPr>
        <w:t>”</w:t>
      </w:r>
      <w:r w:rsidRPr="00EB1E26">
        <w:rPr>
          <w:color w:val="000000" w:themeColor="text1"/>
          <w:u w:color="000000" w:themeColor="text1"/>
        </w:rPr>
        <w:t xml:space="preserve">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Pr="00EB1E26" w:rsidR="00E75F6B" w:rsidP="00E75F6B" w:rsidRDefault="00E75F6B" w14:paraId="43F8C7D6" w14:textId="0FE16A64">
      <w:pPr>
        <w:pStyle w:val="scnewcodesection"/>
      </w:pPr>
      <w:r w:rsidRPr="00EB1E26">
        <w:rPr>
          <w:color w:val="000000" w:themeColor="text1"/>
          <w:u w:color="000000" w:themeColor="text1"/>
        </w:rPr>
        <w:tab/>
      </w:r>
      <w:bookmarkStart w:name="ss_T23C31N70S3_lv1_0cec06123" w:id="13"/>
      <w:r w:rsidRPr="00EB1E26">
        <w:rPr>
          <w:color w:val="000000" w:themeColor="text1"/>
          <w:u w:color="000000" w:themeColor="text1"/>
        </w:rPr>
        <w:t>(</w:t>
      </w:r>
      <w:bookmarkEnd w:id="13"/>
      <w:r w:rsidRPr="00EB1E26">
        <w:rPr>
          <w:color w:val="000000" w:themeColor="text1"/>
          <w:u w:color="000000" w:themeColor="text1"/>
        </w:rPr>
        <w:t>3)</w:t>
      </w:r>
      <w:r w:rsidRPr="00EB1E26">
        <w:t xml:space="preserve"> </w:t>
      </w:r>
      <w:r w:rsidR="00547D94">
        <w:rPr>
          <w:color w:val="000000" w:themeColor="text1"/>
          <w:u w:color="000000" w:themeColor="text1"/>
        </w:rPr>
        <w:t>“</w:t>
      </w:r>
      <w:r w:rsidRPr="00EB1E26">
        <w:rPr>
          <w:color w:val="000000" w:themeColor="text1"/>
          <w:u w:color="000000" w:themeColor="text1"/>
        </w:rPr>
        <w:t>Firearm frame or receiver</w:t>
      </w:r>
      <w:r w:rsidR="00547D94">
        <w:rPr>
          <w:color w:val="000000" w:themeColor="text1"/>
          <w:u w:color="000000" w:themeColor="text1"/>
        </w:rPr>
        <w:t>”</w:t>
      </w:r>
      <w:r w:rsidRPr="00EB1E26">
        <w:rPr>
          <w:color w:val="000000" w:themeColor="text1"/>
          <w:u w:color="000000" w:themeColor="text1"/>
        </w:rPr>
        <w:t xml:space="preserve"> means that part of a firearm which provides housing for the hammer, bolt or breechblock, and firing mechanism, and which is usually threaded at its forward portion to </w:t>
      </w:r>
      <w:r w:rsidRPr="00EB1E26">
        <w:rPr>
          <w:color w:val="000000" w:themeColor="text1"/>
          <w:u w:color="000000" w:themeColor="text1"/>
        </w:rPr>
        <w:lastRenderedPageBreak/>
        <w:t>receive the barrel.</w:t>
      </w:r>
    </w:p>
    <w:p w:rsidRPr="00EB1E26" w:rsidR="00E75F6B" w:rsidP="00E75F6B" w:rsidRDefault="00E75F6B" w14:paraId="3A1737EE" w14:textId="77A7E042">
      <w:pPr>
        <w:pStyle w:val="scnewcodesection"/>
      </w:pPr>
      <w:r w:rsidRPr="00EB1E26">
        <w:rPr>
          <w:color w:val="000000" w:themeColor="text1"/>
          <w:u w:color="000000" w:themeColor="text1"/>
        </w:rPr>
        <w:tab/>
      </w:r>
      <w:bookmarkStart w:name="ss_T23C31N70S4_lv1_73665571d" w:id="14"/>
      <w:r w:rsidRPr="00EB1E26">
        <w:rPr>
          <w:color w:val="000000" w:themeColor="text1"/>
          <w:u w:color="000000" w:themeColor="text1"/>
        </w:rPr>
        <w:t>(</w:t>
      </w:r>
      <w:bookmarkEnd w:id="14"/>
      <w:r w:rsidRPr="00EB1E26">
        <w:rPr>
          <w:color w:val="000000" w:themeColor="text1"/>
          <w:u w:color="000000" w:themeColor="text1"/>
        </w:rPr>
        <w:t>4)</w:t>
      </w:r>
      <w:r w:rsidRPr="00EB1E26">
        <w:t xml:space="preserve"> </w:t>
      </w:r>
      <w:r w:rsidR="00547D94">
        <w:rPr>
          <w:color w:val="000000" w:themeColor="text1"/>
          <w:u w:color="000000" w:themeColor="text1"/>
        </w:rPr>
        <w:t>“</w:t>
      </w:r>
      <w:r w:rsidRPr="00EB1E26">
        <w:rPr>
          <w:color w:val="000000" w:themeColor="text1"/>
          <w:u w:color="000000" w:themeColor="text1"/>
        </w:rPr>
        <w:t>Firearm muffler or firearm silencer</w:t>
      </w:r>
      <w:r w:rsidR="00547D94">
        <w:rPr>
          <w:color w:val="000000" w:themeColor="text1"/>
          <w:u w:color="000000" w:themeColor="text1"/>
        </w:rPr>
        <w:t>”</w:t>
      </w:r>
      <w:r w:rsidRPr="00EB1E26">
        <w:rPr>
          <w:color w:val="000000" w:themeColor="text1"/>
          <w:u w:color="000000" w:themeColor="text1"/>
        </w:rPr>
        <w:t xml:space="preserve">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Pr="00EB1E26" w:rsidR="00E75F6B" w:rsidP="00EA7E35" w:rsidRDefault="00E75F6B" w14:paraId="27C9817A" w14:textId="77777777">
      <w:pPr>
        <w:pStyle w:val="scemptyline"/>
      </w:pPr>
    </w:p>
    <w:p w:rsidRPr="00EB1E26" w:rsidR="00E75F6B" w:rsidP="00E75F6B" w:rsidRDefault="00E75F6B" w14:paraId="7878DAE4" w14:textId="6ADA3D5F">
      <w:pPr>
        <w:pStyle w:val="scnewcodesection"/>
      </w:pPr>
      <w:r>
        <w:tab/>
      </w:r>
      <w:bookmarkStart w:name="ns_T23C31N80_4af709f8f" w:id="15"/>
      <w:r w:rsidRPr="00EB1E26">
        <w:rPr>
          <w:color w:val="000000" w:themeColor="text1"/>
          <w:u w:color="000000" w:themeColor="text1"/>
        </w:rPr>
        <w:t>S</w:t>
      </w:r>
      <w:bookmarkEnd w:id="15"/>
      <w:r>
        <w:t>ection 23</w:t>
      </w:r>
      <w:r w:rsidR="001F6DA3">
        <w:rPr>
          <w:color w:val="000000" w:themeColor="text1"/>
          <w:u w:color="000000" w:themeColor="text1"/>
        </w:rPr>
        <w:t>‑</w:t>
      </w:r>
      <w:r w:rsidRPr="00EB1E26">
        <w:rPr>
          <w:color w:val="000000" w:themeColor="text1"/>
          <w:u w:color="000000" w:themeColor="text1"/>
        </w:rPr>
        <w:t>31</w:t>
      </w:r>
      <w:r w:rsidR="001F6DA3">
        <w:rPr>
          <w:color w:val="000000" w:themeColor="text1"/>
          <w:u w:color="000000" w:themeColor="text1"/>
        </w:rPr>
        <w:t>‑</w:t>
      </w:r>
      <w:r w:rsidRPr="00EB1E26">
        <w:rPr>
          <w:color w:val="000000" w:themeColor="text1"/>
          <w:u w:color="000000" w:themeColor="text1"/>
        </w:rPr>
        <w:t>80.</w:t>
      </w:r>
      <w:r w:rsidRPr="00EB1E26">
        <w:rPr>
          <w:color w:val="000000" w:themeColor="text1"/>
          <w:u w:color="000000" w:themeColor="text1"/>
        </w:rPr>
        <w:tab/>
      </w:r>
      <w:bookmarkStart w:name="ss_T23C31N80SA_lv1_32a35bd9f" w:id="16"/>
      <w:r w:rsidRPr="00EB1E26">
        <w:rPr>
          <w:color w:val="000000" w:themeColor="text1"/>
          <w:u w:color="000000" w:themeColor="text1"/>
        </w:rPr>
        <w:t>(</w:t>
      </w:r>
      <w:bookmarkEnd w:id="16"/>
      <w:r w:rsidRPr="00EB1E26">
        <w:rPr>
          <w:color w:val="000000" w:themeColor="text1"/>
          <w:u w:color="000000" w:themeColor="text1"/>
        </w:rPr>
        <w:t>A)</w:t>
      </w:r>
      <w:r w:rsidRPr="00EB1E26">
        <w:t xml:space="preserve"> </w:t>
      </w:r>
      <w:r w:rsidRPr="00EB1E26">
        <w:rPr>
          <w:color w:val="000000" w:themeColor="text1"/>
          <w:u w:color="000000" w:themeColor="text1"/>
        </w:rPr>
        <w:t>In addition to any other requirements pursuant to state and federal law, all sales, exchanges, or transfers of firearms must be conducted in accordance with the provisions of this article unless the sale, exchange, or transfer is conducted by a licensed importer, licensed manufacturer, or licensed dealer, as those terms are defined in 18 U.S.C. Section 922, when the sale, exchange, or transfer is conducted pursuant to that person’s federal firearms license or the sale, exchange, or transfer is between members of an immediate family. For purposes of this section, ‘immediate family’ means spouses, domestic partners, children, and stepchildren.</w:t>
      </w:r>
    </w:p>
    <w:p w:rsidRPr="00EB1E26" w:rsidR="00E75F6B" w:rsidP="00E75F6B" w:rsidRDefault="00E75F6B" w14:paraId="4F725829" w14:textId="77777777">
      <w:pPr>
        <w:pStyle w:val="scnewcodesection"/>
      </w:pPr>
      <w:r w:rsidRPr="00EB1E26">
        <w:rPr>
          <w:color w:val="000000" w:themeColor="text1"/>
          <w:u w:color="000000" w:themeColor="text1"/>
        </w:rPr>
        <w:tab/>
      </w:r>
      <w:bookmarkStart w:name="ss_T23C31N80SB_lv1_986576a97" w:id="17"/>
      <w:r w:rsidRPr="00EB1E26">
        <w:rPr>
          <w:color w:val="000000" w:themeColor="text1"/>
          <w:u w:color="000000" w:themeColor="text1"/>
        </w:rPr>
        <w:t>(</w:t>
      </w:r>
      <w:bookmarkEnd w:id="17"/>
      <w:r w:rsidRPr="00EB1E26">
        <w:rPr>
          <w:color w:val="000000" w:themeColor="text1"/>
          <w:u w:color="000000" w:themeColor="text1"/>
        </w:rPr>
        <w:t>B)</w:t>
      </w:r>
      <w:r w:rsidRPr="00EB1E26">
        <w:t xml:space="preserve"> </w:t>
      </w:r>
      <w:r w:rsidRPr="00EB1E26">
        <w:rPr>
          <w:color w:val="000000" w:themeColor="text1"/>
          <w:u w:color="000000" w:themeColor="text1"/>
        </w:rPr>
        <w:t>Before any sale, exchange, or transfer pursuant to the provisions of this article, a national instant criminal background check pursuant to 18 U.S.C. Section 922 must be completed by a licensed dealer who consents to conduct the check, and upon completion of the background check, shall complete a document, the form of which shall be approved by the Chief of the State Law Enforcement Division (SLED), that identifies and confirms that the check was performed.</w:t>
      </w:r>
    </w:p>
    <w:p w:rsidRPr="00EB1E26" w:rsidR="00E75F6B" w:rsidP="00E75F6B" w:rsidRDefault="00E75F6B" w14:paraId="70ACF622" w14:textId="77777777">
      <w:pPr>
        <w:pStyle w:val="scnewcodesection"/>
      </w:pPr>
      <w:r w:rsidRPr="00EB1E26">
        <w:rPr>
          <w:color w:val="000000" w:themeColor="text1"/>
          <w:u w:color="000000" w:themeColor="text1"/>
        </w:rPr>
        <w:tab/>
      </w:r>
      <w:bookmarkStart w:name="ss_T23C31N80SC_lv1_4922c48d6" w:id="18"/>
      <w:r w:rsidRPr="00EB1E26">
        <w:rPr>
          <w:color w:val="000000" w:themeColor="text1"/>
          <w:u w:color="000000" w:themeColor="text1"/>
        </w:rPr>
        <w:t>(</w:t>
      </w:r>
      <w:bookmarkEnd w:id="18"/>
      <w:r w:rsidRPr="00EB1E26">
        <w:rPr>
          <w:color w:val="000000" w:themeColor="text1"/>
          <w:u w:color="000000" w:themeColor="text1"/>
        </w:rPr>
        <w:t>C)</w:t>
      </w:r>
      <w:r w:rsidRPr="00EB1E26">
        <w:t xml:space="preserve"> </w:t>
      </w:r>
      <w:r w:rsidRPr="00EB1E26">
        <w:rPr>
          <w:color w:val="000000" w:themeColor="text1"/>
          <w:u w:color="000000" w:themeColor="text1"/>
        </w:rPr>
        <w:t>All dealers shall maintain a record of transactions conducted pursuant to this article and the record must be maintained on the premises mentioned and described in the license and must be open at all reasonable hours for inspection by any law enforcement officer acting in the scope of his employment.</w:t>
      </w:r>
    </w:p>
    <w:p w:rsidRPr="00EB1E26" w:rsidR="00E75F6B" w:rsidP="00EA7E35" w:rsidRDefault="00E75F6B" w14:paraId="366B5D01" w14:textId="77777777">
      <w:pPr>
        <w:pStyle w:val="scemptyline"/>
      </w:pPr>
    </w:p>
    <w:p w:rsidRPr="00EB1E26" w:rsidR="00E75F6B" w:rsidP="00E75F6B" w:rsidRDefault="00E75F6B" w14:paraId="4FDBC382" w14:textId="01722E99">
      <w:pPr>
        <w:pStyle w:val="scnewcodesection"/>
      </w:pPr>
      <w:r>
        <w:tab/>
      </w:r>
      <w:bookmarkStart w:name="ns_T23C31N90_8ae36de8b" w:id="19"/>
      <w:r w:rsidRPr="00EB1E26">
        <w:rPr>
          <w:color w:val="000000" w:themeColor="text1"/>
          <w:u w:color="000000" w:themeColor="text1"/>
        </w:rPr>
        <w:t>S</w:t>
      </w:r>
      <w:bookmarkEnd w:id="19"/>
      <w:r>
        <w:t>ection 23</w:t>
      </w:r>
      <w:r w:rsidR="001F6DA3">
        <w:rPr>
          <w:color w:val="000000" w:themeColor="text1"/>
          <w:u w:color="000000" w:themeColor="text1"/>
        </w:rPr>
        <w:t>‑</w:t>
      </w:r>
      <w:r w:rsidRPr="00EB1E26">
        <w:rPr>
          <w:color w:val="000000" w:themeColor="text1"/>
          <w:u w:color="000000" w:themeColor="text1"/>
        </w:rPr>
        <w:t>31</w:t>
      </w:r>
      <w:r w:rsidR="001F6DA3">
        <w:rPr>
          <w:color w:val="000000" w:themeColor="text1"/>
          <w:u w:color="000000" w:themeColor="text1"/>
        </w:rPr>
        <w:t>‑</w:t>
      </w:r>
      <w:r w:rsidRPr="00EB1E26">
        <w:rPr>
          <w:color w:val="000000" w:themeColor="text1"/>
          <w:u w:color="000000" w:themeColor="text1"/>
        </w:rPr>
        <w:t>90.</w:t>
      </w:r>
      <w:r w:rsidRPr="00EB1E26">
        <w:rPr>
          <w:color w:val="000000" w:themeColor="text1"/>
          <w:u w:color="000000" w:themeColor="text1"/>
        </w:rPr>
        <w:tab/>
      </w:r>
      <w:bookmarkStart w:name="ss_T23C31N90SA_lv1_024009c63" w:id="20"/>
      <w:r w:rsidRPr="00EB1E26">
        <w:rPr>
          <w:color w:val="000000" w:themeColor="text1"/>
          <w:u w:color="000000" w:themeColor="text1"/>
        </w:rPr>
        <w:t>(</w:t>
      </w:r>
      <w:bookmarkEnd w:id="20"/>
      <w:r w:rsidRPr="00EB1E26">
        <w:rPr>
          <w:color w:val="000000" w:themeColor="text1"/>
          <w:u w:color="000000" w:themeColor="text1"/>
        </w:rPr>
        <w:t>A)</w:t>
      </w:r>
      <w:r w:rsidRPr="00EB1E26">
        <w:t xml:space="preserve"> </w:t>
      </w:r>
      <w:r w:rsidRPr="00EB1E26">
        <w:rPr>
          <w:color w:val="000000" w:themeColor="text1"/>
          <w:u w:color="000000" w:themeColor="text1"/>
        </w:rPr>
        <w:t>A national instant criminal background check must be conducted and a person may not sell, exchange, or transfer a firearm at a gun show in this State except in accordance with the provisions of 18 U.S.C. 922 and the provisions of this section.</w:t>
      </w:r>
    </w:p>
    <w:p w:rsidRPr="00EB1E26" w:rsidR="00E75F6B" w:rsidP="00E75F6B" w:rsidRDefault="00E75F6B" w14:paraId="3CE82B64" w14:textId="77777777">
      <w:pPr>
        <w:pStyle w:val="scnewcodesection"/>
      </w:pPr>
      <w:r w:rsidRPr="00EB1E26">
        <w:rPr>
          <w:color w:val="000000" w:themeColor="text1"/>
          <w:u w:color="000000" w:themeColor="text1"/>
        </w:rPr>
        <w:tab/>
      </w:r>
      <w:bookmarkStart w:name="ss_T23C31N90SB_lv1_2680befe6" w:id="21"/>
      <w:r w:rsidRPr="00EB1E26">
        <w:rPr>
          <w:color w:val="000000" w:themeColor="text1"/>
          <w:u w:color="000000" w:themeColor="text1"/>
        </w:rPr>
        <w:t>(</w:t>
      </w:r>
      <w:bookmarkEnd w:id="21"/>
      <w:r w:rsidRPr="00EB1E26">
        <w:rPr>
          <w:color w:val="000000" w:themeColor="text1"/>
          <w:u w:color="000000" w:themeColor="text1"/>
        </w:rPr>
        <w:t>B)</w:t>
      </w:r>
      <w:r w:rsidRPr="00EB1E26">
        <w:t xml:space="preserve"> </w:t>
      </w:r>
      <w:r w:rsidRPr="00EB1E26">
        <w:rPr>
          <w:color w:val="000000" w:themeColor="text1"/>
          <w:u w:color="000000" w:themeColor="text1"/>
        </w:rPr>
        <w:t>A person may not offer or agree to sell, exchange, or transfer a firearm to another person at a gun show in this State and transfer or deliver a firearm to another person, or person acting on his behalf, at a location other than the gun show for the purpose of evading or avoiding compliance with 18 U.S.C. 922.</w:t>
      </w:r>
    </w:p>
    <w:p w:rsidRPr="00EB1E26" w:rsidR="00E75F6B" w:rsidP="00E75F6B" w:rsidRDefault="00E75F6B" w14:paraId="31D57B03" w14:textId="77777777">
      <w:pPr>
        <w:pStyle w:val="scnewcodesection"/>
      </w:pPr>
      <w:r w:rsidRPr="00EB1E26">
        <w:rPr>
          <w:color w:val="000000" w:themeColor="text1"/>
          <w:u w:color="000000" w:themeColor="text1"/>
        </w:rPr>
        <w:tab/>
      </w:r>
      <w:bookmarkStart w:name="ss_T23C31N90SC_lv1_aa16ed280" w:id="22"/>
      <w:r w:rsidRPr="00EB1E26">
        <w:rPr>
          <w:color w:val="000000" w:themeColor="text1"/>
          <w:u w:color="000000" w:themeColor="text1"/>
        </w:rPr>
        <w:t>(</w:t>
      </w:r>
      <w:bookmarkEnd w:id="22"/>
      <w:r w:rsidRPr="00EB1E26">
        <w:rPr>
          <w:color w:val="000000" w:themeColor="text1"/>
          <w:u w:color="000000" w:themeColor="text1"/>
        </w:rPr>
        <w:t>C)</w:t>
      </w:r>
      <w:bookmarkStart w:name="ss_T23C31N90S1_lv2_46e5c43f4" w:id="23"/>
      <w:r w:rsidRPr="00EB1E26">
        <w:rPr>
          <w:color w:val="000000" w:themeColor="text1"/>
          <w:u w:color="000000" w:themeColor="text1"/>
        </w:rPr>
        <w:t>(</w:t>
      </w:r>
      <w:bookmarkEnd w:id="23"/>
      <w:r w:rsidRPr="00EB1E26">
        <w:rPr>
          <w:color w:val="000000" w:themeColor="text1"/>
          <w:u w:color="000000" w:themeColor="text1"/>
        </w:rPr>
        <w:t>1)</w:t>
      </w:r>
      <w:r w:rsidRPr="00EB1E26">
        <w:t xml:space="preserve"> </w:t>
      </w:r>
      <w:r w:rsidRPr="00EB1E26">
        <w:rPr>
          <w:color w:val="000000" w:themeColor="text1"/>
          <w:u w:color="000000" w:themeColor="text1"/>
        </w:rPr>
        <w:t>Before a gun show vendor sells, exchanges, or transfers a firearm at a gun show in this State, he shall:</w:t>
      </w:r>
    </w:p>
    <w:p w:rsidRPr="00EB1E26" w:rsidR="00E75F6B" w:rsidP="00E75F6B" w:rsidRDefault="00E75F6B" w14:paraId="65DCFA34" w14:textId="77777777">
      <w:pPr>
        <w:pStyle w:val="scnewcodesection"/>
      </w:pPr>
      <w:r w:rsidRPr="00EB1E26">
        <w:rPr>
          <w:color w:val="000000" w:themeColor="text1"/>
          <w:u w:color="000000" w:themeColor="text1"/>
        </w:rPr>
        <w:tab/>
      </w:r>
      <w:r w:rsidRPr="00EB1E26">
        <w:rPr>
          <w:color w:val="000000" w:themeColor="text1"/>
          <w:u w:color="000000" w:themeColor="text1"/>
        </w:rPr>
        <w:tab/>
      </w:r>
      <w:r w:rsidRPr="00EB1E26">
        <w:rPr>
          <w:color w:val="000000" w:themeColor="text1"/>
          <w:u w:color="000000" w:themeColor="text1"/>
        </w:rPr>
        <w:tab/>
      </w:r>
      <w:bookmarkStart w:name="ss_T23C31N90Sa_lv3_76c1f420e" w:id="24"/>
      <w:r w:rsidRPr="00EB1E26">
        <w:rPr>
          <w:color w:val="000000" w:themeColor="text1"/>
          <w:u w:color="000000" w:themeColor="text1"/>
        </w:rPr>
        <w:t>(</w:t>
      </w:r>
      <w:bookmarkEnd w:id="24"/>
      <w:r w:rsidRPr="00EB1E26">
        <w:rPr>
          <w:color w:val="000000" w:themeColor="text1"/>
          <w:u w:color="000000" w:themeColor="text1"/>
        </w:rPr>
        <w:t>a)</w:t>
      </w:r>
      <w:r>
        <w:t xml:space="preserve"> </w:t>
      </w:r>
      <w:r w:rsidRPr="00EB1E26">
        <w:rPr>
          <w:color w:val="000000" w:themeColor="text1"/>
          <w:u w:color="000000" w:themeColor="text1"/>
        </w:rPr>
        <w:t>require that a national instant background check be conducted of the person; and</w:t>
      </w:r>
    </w:p>
    <w:p w:rsidRPr="00EB1E26" w:rsidR="00E75F6B" w:rsidP="00E75F6B" w:rsidRDefault="00E75F6B" w14:paraId="69778E1B" w14:textId="77777777">
      <w:pPr>
        <w:pStyle w:val="scnewcodesection"/>
      </w:pPr>
      <w:r w:rsidRPr="00EB1E26">
        <w:rPr>
          <w:color w:val="000000" w:themeColor="text1"/>
          <w:u w:color="000000" w:themeColor="text1"/>
        </w:rPr>
        <w:tab/>
      </w:r>
      <w:r w:rsidRPr="00EB1E26">
        <w:rPr>
          <w:color w:val="000000" w:themeColor="text1"/>
          <w:u w:color="000000" w:themeColor="text1"/>
        </w:rPr>
        <w:tab/>
      </w:r>
      <w:r w:rsidRPr="00EB1E26">
        <w:rPr>
          <w:color w:val="000000" w:themeColor="text1"/>
          <w:u w:color="000000" w:themeColor="text1"/>
        </w:rPr>
        <w:tab/>
      </w:r>
      <w:bookmarkStart w:name="ss_T23C31N90Sb_lv3_330fa0e01" w:id="25"/>
      <w:r w:rsidRPr="00EB1E26">
        <w:rPr>
          <w:color w:val="000000" w:themeColor="text1"/>
          <w:u w:color="000000" w:themeColor="text1"/>
        </w:rPr>
        <w:t>(</w:t>
      </w:r>
      <w:bookmarkEnd w:id="25"/>
      <w:r w:rsidRPr="00EB1E26">
        <w:rPr>
          <w:color w:val="000000" w:themeColor="text1"/>
          <w:u w:color="000000" w:themeColor="text1"/>
        </w:rPr>
        <w:t>b)</w:t>
      </w:r>
      <w:r w:rsidRPr="00EB1E26">
        <w:t xml:space="preserve"> </w:t>
      </w:r>
      <w:r w:rsidRPr="00EB1E26">
        <w:rPr>
          <w:color w:val="000000" w:themeColor="text1"/>
          <w:u w:color="000000" w:themeColor="text1"/>
        </w:rPr>
        <w:t>obtain approval of a transfer from SLED after a national instant background check has been requested by a licensed gun dealer.</w:t>
      </w:r>
    </w:p>
    <w:p w:rsidRPr="00EB1E26" w:rsidR="00E75F6B" w:rsidP="00E75F6B" w:rsidRDefault="00E75F6B" w14:paraId="2A938D42" w14:textId="77777777">
      <w:pPr>
        <w:pStyle w:val="scnewcodesection"/>
      </w:pPr>
      <w:r w:rsidRPr="00EB1E26">
        <w:rPr>
          <w:color w:val="000000" w:themeColor="text1"/>
          <w:u w:color="000000" w:themeColor="text1"/>
        </w:rPr>
        <w:tab/>
      </w:r>
      <w:r w:rsidRPr="00EB1E26">
        <w:rPr>
          <w:color w:val="000000" w:themeColor="text1"/>
          <w:u w:color="000000" w:themeColor="text1"/>
        </w:rPr>
        <w:tab/>
      </w:r>
      <w:bookmarkStart w:name="ss_T23C31N90S2_lv2_5ce1538f1" w:id="26"/>
      <w:r w:rsidRPr="00EB1E26">
        <w:rPr>
          <w:color w:val="000000" w:themeColor="text1"/>
          <w:u w:color="000000" w:themeColor="text1"/>
        </w:rPr>
        <w:t>(</w:t>
      </w:r>
      <w:bookmarkEnd w:id="26"/>
      <w:r w:rsidRPr="00EB1E26">
        <w:rPr>
          <w:color w:val="000000" w:themeColor="text1"/>
          <w:u w:color="000000" w:themeColor="text1"/>
        </w:rPr>
        <w:t>2)</w:t>
      </w:r>
      <w:r w:rsidRPr="00EB1E26">
        <w:t xml:space="preserve"> </w:t>
      </w:r>
      <w:r w:rsidRPr="00EB1E26">
        <w:rPr>
          <w:color w:val="000000" w:themeColor="text1"/>
          <w:u w:color="000000" w:themeColor="text1"/>
        </w:rPr>
        <w:t xml:space="preserve">A gun show promoter shall arrange for the services of one or more licensed gun dealers on the </w:t>
      </w:r>
      <w:r w:rsidRPr="00EB1E26">
        <w:rPr>
          <w:color w:val="000000" w:themeColor="text1"/>
          <w:u w:color="000000" w:themeColor="text1"/>
        </w:rPr>
        <w:lastRenderedPageBreak/>
        <w:t>premises of the gun show to obtain the background checks required by this section.</w:t>
      </w:r>
    </w:p>
    <w:p w:rsidRPr="00EB1E26" w:rsidR="00E75F6B" w:rsidP="00E75F6B" w:rsidRDefault="00E75F6B" w14:paraId="799EE295" w14:textId="77777777">
      <w:pPr>
        <w:pStyle w:val="scnewcodesection"/>
      </w:pPr>
      <w:r w:rsidRPr="00EB1E26">
        <w:rPr>
          <w:color w:val="000000" w:themeColor="text1"/>
          <w:u w:color="000000" w:themeColor="text1"/>
        </w:rPr>
        <w:tab/>
      </w:r>
      <w:r w:rsidRPr="00EB1E26">
        <w:rPr>
          <w:color w:val="000000" w:themeColor="text1"/>
          <w:u w:color="000000" w:themeColor="text1"/>
        </w:rPr>
        <w:tab/>
      </w:r>
      <w:bookmarkStart w:name="ss_T23C31N90S3_lv2_4d74d9059" w:id="27"/>
      <w:r w:rsidRPr="00EB1E26">
        <w:rPr>
          <w:color w:val="000000" w:themeColor="text1"/>
          <w:u w:color="000000" w:themeColor="text1"/>
        </w:rPr>
        <w:t>(</w:t>
      </w:r>
      <w:bookmarkEnd w:id="27"/>
      <w:r w:rsidRPr="00EB1E26">
        <w:rPr>
          <w:color w:val="000000" w:themeColor="text1"/>
          <w:u w:color="000000" w:themeColor="text1"/>
        </w:rPr>
        <w:t>3)</w:t>
      </w:r>
      <w:r w:rsidRPr="00EB1E26">
        <w:t xml:space="preserve"> </w:t>
      </w:r>
      <w:r w:rsidRPr="00EB1E26">
        <w:rPr>
          <w:color w:val="000000" w:themeColor="text1"/>
          <w:u w:color="000000" w:themeColor="text1"/>
        </w:rPr>
        <w:t>If any part of a firearm transaction takes place at a gun show, no firearm may be sold, exchanged, or transferred unless a national instant background check has been obtained by a licensed gun dealer.</w:t>
      </w:r>
    </w:p>
    <w:p w:rsidRPr="00EB1E26" w:rsidR="00E75F6B" w:rsidP="00EA7E35" w:rsidRDefault="00E75F6B" w14:paraId="5F676484" w14:textId="77777777">
      <w:pPr>
        <w:pStyle w:val="scemptyline"/>
      </w:pPr>
    </w:p>
    <w:p w:rsidRPr="00EB1E26" w:rsidR="00E75F6B" w:rsidP="00E75F6B" w:rsidRDefault="00E75F6B" w14:paraId="1C87F57F" w14:textId="1A339A38">
      <w:pPr>
        <w:pStyle w:val="scnewcodesection"/>
      </w:pPr>
      <w:r>
        <w:tab/>
      </w:r>
      <w:bookmarkStart w:name="ns_T23C31N100_7e47577d0" w:id="28"/>
      <w:r w:rsidRPr="00EB1E26">
        <w:rPr>
          <w:color w:val="000000" w:themeColor="text1"/>
          <w:u w:color="000000" w:themeColor="text1"/>
        </w:rPr>
        <w:t>S</w:t>
      </w:r>
      <w:bookmarkEnd w:id="28"/>
      <w:r>
        <w:t>ection 23</w:t>
      </w:r>
      <w:r w:rsidR="001F6DA3">
        <w:rPr>
          <w:color w:val="000000" w:themeColor="text1"/>
          <w:u w:color="000000" w:themeColor="text1"/>
        </w:rPr>
        <w:t>‑</w:t>
      </w:r>
      <w:r w:rsidRPr="00EB1E26">
        <w:rPr>
          <w:color w:val="000000" w:themeColor="text1"/>
          <w:u w:color="000000" w:themeColor="text1"/>
        </w:rPr>
        <w:t>31</w:t>
      </w:r>
      <w:r w:rsidR="001F6DA3">
        <w:rPr>
          <w:color w:val="000000" w:themeColor="text1"/>
          <w:u w:color="000000" w:themeColor="text1"/>
        </w:rPr>
        <w:t>‑</w:t>
      </w:r>
      <w:r w:rsidRPr="00EB1E26">
        <w:rPr>
          <w:color w:val="000000" w:themeColor="text1"/>
          <w:u w:color="000000" w:themeColor="text1"/>
        </w:rPr>
        <w:t>100.</w:t>
      </w:r>
      <w:r w:rsidRPr="00EB1E26">
        <w:rPr>
          <w:color w:val="000000" w:themeColor="text1"/>
          <w:u w:color="000000" w:themeColor="text1"/>
        </w:rPr>
        <w:tab/>
      </w:r>
      <w:bookmarkStart w:name="ss_T23C31N100SA_lv1_70d27f662" w:id="29"/>
      <w:r w:rsidRPr="00EB1E26">
        <w:rPr>
          <w:color w:val="000000" w:themeColor="text1"/>
          <w:u w:color="000000" w:themeColor="text1"/>
        </w:rPr>
        <w:t>(</w:t>
      </w:r>
      <w:bookmarkEnd w:id="29"/>
      <w:r w:rsidRPr="00EB1E26">
        <w:rPr>
          <w:color w:val="000000" w:themeColor="text1"/>
          <w:u w:color="000000" w:themeColor="text1"/>
        </w:rPr>
        <w:t>A)</w:t>
      </w:r>
      <w:r w:rsidRPr="00EB1E26">
        <w:t xml:space="preserve"> </w:t>
      </w:r>
      <w:r w:rsidRPr="00EB1E26">
        <w:rPr>
          <w:color w:val="000000" w:themeColor="text1"/>
          <w:u w:color="000000" w:themeColor="text1"/>
        </w:rPr>
        <w:t>A dealer may require that any sale, exchange, or transfer conducted pursuant to this article be subject to a fee of not more than twenty</w:t>
      </w:r>
      <w:r w:rsidR="001F6DA3">
        <w:rPr>
          <w:color w:val="000000" w:themeColor="text1"/>
          <w:u w:color="000000" w:themeColor="text1"/>
        </w:rPr>
        <w:t>‑</w:t>
      </w:r>
      <w:r w:rsidRPr="00EB1E26">
        <w:rPr>
          <w:color w:val="000000" w:themeColor="text1"/>
          <w:u w:color="000000" w:themeColor="text1"/>
        </w:rPr>
        <w:t>five dollars per transaction.</w:t>
      </w:r>
    </w:p>
    <w:p w:rsidRPr="00EB1E26" w:rsidR="00E75F6B" w:rsidP="00E75F6B" w:rsidRDefault="00E75F6B" w14:paraId="26E1BEF0" w14:textId="77777777">
      <w:pPr>
        <w:pStyle w:val="scnewcodesection"/>
      </w:pPr>
      <w:r w:rsidRPr="00EB1E26">
        <w:rPr>
          <w:color w:val="000000" w:themeColor="text1"/>
          <w:u w:color="000000" w:themeColor="text1"/>
        </w:rPr>
        <w:tab/>
      </w:r>
      <w:bookmarkStart w:name="ss_T23C31N100SB_lv1_869df676a" w:id="30"/>
      <w:r w:rsidRPr="00EB1E26">
        <w:rPr>
          <w:color w:val="000000" w:themeColor="text1"/>
          <w:u w:color="000000" w:themeColor="text1"/>
        </w:rPr>
        <w:t>(</w:t>
      </w:r>
      <w:bookmarkEnd w:id="30"/>
      <w:r w:rsidRPr="00EB1E26">
        <w:rPr>
          <w:color w:val="000000" w:themeColor="text1"/>
          <w:u w:color="000000" w:themeColor="text1"/>
        </w:rPr>
        <w:t>B)</w:t>
      </w:r>
      <w:r w:rsidRPr="00EB1E26">
        <w:t xml:space="preserve"> </w:t>
      </w:r>
      <w:r w:rsidRPr="00EB1E26">
        <w:rPr>
          <w:color w:val="000000" w:themeColor="text1"/>
          <w:u w:color="000000" w:themeColor="text1"/>
        </w:rPr>
        <w:t>A record produced pursuant to this article and any transmission of the record to a governmental agency is not considered a public record for purposes of Chapter 4, Title 30, the Freedom of Information Act.</w:t>
      </w:r>
    </w:p>
    <w:p w:rsidRPr="00EB1E26" w:rsidR="00E75F6B" w:rsidP="00E75F6B" w:rsidRDefault="00E75F6B" w14:paraId="3D66C0B3" w14:textId="77777777">
      <w:pPr>
        <w:pStyle w:val="scnewcodesection"/>
      </w:pPr>
      <w:r w:rsidRPr="00EB1E26">
        <w:rPr>
          <w:color w:val="000000" w:themeColor="text1"/>
          <w:u w:color="000000" w:themeColor="text1"/>
        </w:rPr>
        <w:tab/>
      </w:r>
      <w:bookmarkStart w:name="ss_T23C31N100SC_lv1_8b98629f7" w:id="31"/>
      <w:r w:rsidRPr="00EB1E26">
        <w:rPr>
          <w:color w:val="000000" w:themeColor="text1"/>
          <w:u w:color="000000" w:themeColor="text1"/>
        </w:rPr>
        <w:t>(</w:t>
      </w:r>
      <w:bookmarkEnd w:id="31"/>
      <w:r w:rsidRPr="00EB1E26">
        <w:rPr>
          <w:color w:val="000000" w:themeColor="text1"/>
          <w:u w:color="000000" w:themeColor="text1"/>
        </w:rPr>
        <w:t>C)</w:t>
      </w:r>
      <w:r w:rsidRPr="00EB1E26">
        <w:t xml:space="preserve"> </w:t>
      </w:r>
      <w:r w:rsidRPr="00EB1E26">
        <w:rPr>
          <w:color w:val="000000" w:themeColor="text1"/>
          <w:u w:color="000000" w:themeColor="text1"/>
        </w:rPr>
        <w:t>A person who knowingly violates the provisions of this article is guilty of a misdemeanor and, upon conviction, must be fined not more than one thousand dollars or imprisoned for not more than one year.</w:t>
      </w:r>
    </w:p>
    <w:p w:rsidRPr="00EB1E26" w:rsidR="00E75F6B" w:rsidP="00EA7E35" w:rsidRDefault="00E75F6B" w14:paraId="29FB5FC1" w14:textId="77777777">
      <w:pPr>
        <w:pStyle w:val="scemptyline"/>
      </w:pPr>
    </w:p>
    <w:p w:rsidRPr="00EB1E26" w:rsidR="00E75F6B" w:rsidP="00E75F6B" w:rsidRDefault="00E75F6B" w14:paraId="2B9548F4" w14:textId="77777777">
      <w:pPr>
        <w:pStyle w:val="scnoncodifiedsection"/>
      </w:pPr>
      <w:bookmarkStart w:name="bs_num_2_e137adc1f" w:id="32"/>
      <w:r w:rsidRPr="00EB1E26">
        <w:rPr>
          <w:color w:val="000000" w:themeColor="text1"/>
          <w:u w:color="000000" w:themeColor="text1"/>
        </w:rPr>
        <w:t>S</w:t>
      </w:r>
      <w:bookmarkEnd w:id="32"/>
      <w:r>
        <w:t xml:space="preserve">ECTION </w:t>
      </w:r>
      <w:r w:rsidRPr="00EB1E26">
        <w:rPr>
          <w:color w:val="000000" w:themeColor="text1"/>
          <w:u w:color="000000" w:themeColor="text1"/>
        </w:rPr>
        <w:t>2.</w:t>
      </w:r>
      <w:r w:rsidRPr="00EB1E26">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EB1E26" w:rsidR="00E75F6B" w:rsidP="00EA7E35" w:rsidRDefault="00E75F6B" w14:paraId="191C8A51" w14:textId="77777777">
      <w:pPr>
        <w:pStyle w:val="scemptyline"/>
      </w:pPr>
    </w:p>
    <w:p w:rsidRPr="00EB1E26" w:rsidR="00E75F6B" w:rsidP="00E75F6B" w:rsidRDefault="00E75F6B" w14:paraId="76F2F873" w14:textId="77777777">
      <w:pPr>
        <w:pStyle w:val="scnoncodifiedsection"/>
      </w:pPr>
      <w:bookmarkStart w:name="bs_num_3_5296eb923" w:id="33"/>
      <w:r w:rsidRPr="00EB1E26">
        <w:rPr>
          <w:color w:val="000000" w:themeColor="text1"/>
          <w:u w:color="000000" w:themeColor="text1"/>
        </w:rPr>
        <w:t>S</w:t>
      </w:r>
      <w:bookmarkEnd w:id="33"/>
      <w:r>
        <w:t xml:space="preserve">ECTION </w:t>
      </w:r>
      <w:r w:rsidRPr="00EB1E26">
        <w:rPr>
          <w:color w:val="000000" w:themeColor="text1"/>
          <w:u w:color="000000" w:themeColor="text1"/>
        </w:rPr>
        <w:t>3.</w:t>
      </w:r>
      <w:r w:rsidRPr="00EB1E26">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75F6B" w:rsidP="00EA7E35" w:rsidRDefault="00E75F6B" w14:paraId="6232485D" w14:textId="77777777">
      <w:pPr>
        <w:pStyle w:val="scemptyline"/>
      </w:pPr>
    </w:p>
    <w:p w:rsidR="00E75F6B" w:rsidP="00E75F6B" w:rsidRDefault="00E75F6B" w14:paraId="3E0F09E7" w14:textId="77777777">
      <w:pPr>
        <w:pStyle w:val="scnoncodifiedsection"/>
      </w:pPr>
      <w:bookmarkStart w:name="eff_date_section" w:id="34"/>
      <w:bookmarkStart w:name="bs_num_4_lastsection" w:id="35"/>
      <w:bookmarkEnd w:id="34"/>
      <w:r>
        <w:t>S</w:t>
      </w:r>
      <w:bookmarkEnd w:id="35"/>
      <w:r>
        <w:t>ECTION 4.</w:t>
      </w:r>
      <w:r>
        <w:tab/>
        <w:t>This act takes effect upon approval by the Governor.</w:t>
      </w:r>
    </w:p>
    <w:p w:rsidRPr="00DF3B44" w:rsidR="005516F6" w:rsidP="009E4191" w:rsidRDefault="00E75F6B" w14:paraId="7389F665" w14:textId="7D913A9D">
      <w:pPr>
        <w:pStyle w:val="scbillendxx"/>
      </w:pPr>
      <w:r>
        <w:noBreakHyphen/>
      </w:r>
      <w:r>
        <w:noBreakHyphen/>
      </w:r>
      <w:r>
        <w:noBreakHyphen/>
      </w:r>
      <w:r>
        <w:noBreakHyphen/>
        <w:t>XX</w:t>
      </w:r>
      <w:r>
        <w:noBreakHyphen/>
      </w:r>
      <w:r>
        <w:noBreakHyphen/>
      </w:r>
      <w:r>
        <w:noBreakHyphen/>
      </w:r>
      <w:r>
        <w:noBreakHyphen/>
      </w:r>
    </w:p>
    <w:sectPr w:rsidRPr="00DF3B44" w:rsidR="005516F6" w:rsidSect="00547D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789371" w:rsidR="00685035" w:rsidRPr="007B4AF7" w:rsidRDefault="00547D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5F6B">
              <w:rPr>
                <w:noProof/>
              </w:rPr>
              <w:t>LC-0009AHB23.docx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6DA3"/>
    <w:rsid w:val="002038AA"/>
    <w:rsid w:val="002114C8"/>
    <w:rsid w:val="0021166F"/>
    <w:rsid w:val="002162DF"/>
    <w:rsid w:val="00230038"/>
    <w:rsid w:val="00233975"/>
    <w:rsid w:val="00236D73"/>
    <w:rsid w:val="00257F60"/>
    <w:rsid w:val="002625EA"/>
    <w:rsid w:val="00264AE9"/>
    <w:rsid w:val="00275AE6"/>
    <w:rsid w:val="002836D8"/>
    <w:rsid w:val="00291CC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47D94"/>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205C"/>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55C0"/>
    <w:rsid w:val="00D772FB"/>
    <w:rsid w:val="00DA1AA0"/>
    <w:rsid w:val="00DC44A8"/>
    <w:rsid w:val="00DE4BEE"/>
    <w:rsid w:val="00DE5B3D"/>
    <w:rsid w:val="00DE7112"/>
    <w:rsid w:val="00DF19BE"/>
    <w:rsid w:val="00DF3B44"/>
    <w:rsid w:val="00E043F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F6B"/>
    <w:rsid w:val="00E84FE5"/>
    <w:rsid w:val="00E879A5"/>
    <w:rsid w:val="00E879FC"/>
    <w:rsid w:val="00EA2574"/>
    <w:rsid w:val="00EA2F1F"/>
    <w:rsid w:val="00EA3F2E"/>
    <w:rsid w:val="00EA57EC"/>
    <w:rsid w:val="00EA7E35"/>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10&amp;session=125&amp;summary=B" TargetMode="External" Id="Rcd2b473c8607456e" /><Relationship Type="http://schemas.openxmlformats.org/officeDocument/2006/relationships/hyperlink" Target="https://www.scstatehouse.gov/sess125_2023-2024/prever/3010_20221208.docx" TargetMode="External" Id="R5cac4fd7d79945e6" /><Relationship Type="http://schemas.openxmlformats.org/officeDocument/2006/relationships/hyperlink" Target="h:\hj\20230110.docx" TargetMode="External" Id="R98190d9fb3ed494b" /><Relationship Type="http://schemas.openxmlformats.org/officeDocument/2006/relationships/hyperlink" Target="h:\hj\20230110.docx" TargetMode="External" Id="R37dee6f8af744c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830c9f2a-0a59-48ca-bc3a-4eb59a54748c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a76e3b19-24d1-4c63-8d6c-72acf51c4e07</T_BILL_REQUEST_REQUEST>
  <T_BILL_R_ORIGINALDRAFT>87e1788b-d2f7-479d-afb5-6c4c7d37c0b4</T_BILL_R_ORIGINALDRAFT>
  <T_BILL_SPONSOR_SPONSOR>28485428-3f67-4209-87b2-3f621d68634b</T_BILL_SPONSOR_SPONSOR>
  <T_BILL_T_ACTNUMBER>None</T_BILL_T_ACTNUMBER>
  <T_BILL_T_BILLNAME>[3010]</T_BILL_T_BILLNAME>
  <T_BILL_T_BILLNUMBER>3010</T_BILL_T_BILLNUMBER>
  <T_BILL_T_BILLTITLE>TO AMEND THE south carolina CODE OF LAWS BY ADDING ARTICLE 2 TO CHAPTER 31, TITLE 23 SO AS TO REQUIRE A NATIONAL INSTANT CRIMINAL BACKGROUND CHECK BEFORE ANY SALE, EXCHANGE, OR TRANSFER OF A FIREARM IN THIS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T_BILL_T_BILLTITLE>
  <T_BILL_T_CHAMBER>house</T_BILL_T_CHAMBER>
  <T_BILL_T_FILENAME> </T_BILL_T_FILENAME>
  <T_BILL_T_LEGTYPE>bill_statewide</T_BILL_T_LEGTYPE>
  <T_BILL_T_RATNUMBER>None</T_BILL_T_RATNUMBER>
  <T_BILL_T_SECTIONS>[{"SectionUUID":"a1cb6216-7211-4a33-b270-61ed6a40a5aa","SectionName":"code_section","SectionNumber":1,"SectionType":"code_section","CodeSections":[{"CodeSectionBookmarkName":"ns_T23C31N70_528e52f29","IsConstitutionSection":false,"Identity":"23-31-70","IsNew":true,"SubSections":[{"Level":1,"Identity":"T23C31N70S1","SubSectionBookmarkName":"ss_T23C31N70S1_lv1_d70c8eaa2","IsNewSubSection":false},{"Level":2,"Identity":"T23C31N70Sa","SubSectionBookmarkName":"ss_T23C31N70Sa_lv2_76ae37588","IsNewSubSection":false},{"Level":2,"Identity":"T23C31N70Sb","SubSectionBookmarkName":"ss_T23C31N70Sb_lv2_688cc079c","IsNewSubSection":false},{"Level":3,"Identity":"T23C31N70Si","SubSectionBookmarkName":"ss_T23C31N70Si_lv3_3df9af629","IsNewSubSection":false},{"Level":3,"Identity":"T23C31N70Sii","SubSectionBookmarkName":"ss_T23C31N70Sii_lv3_b75addba6","IsNewSubSection":false},{"Level":1,"Identity":"T23C31N70S2","SubSectionBookmarkName":"ss_T23C31N70S2_lv1_1e659c516","IsNewSubSection":false},{"Level":1,"Identity":"T23C31N70S3","SubSectionBookmarkName":"ss_T23C31N70S3_lv1_0cec06123","IsNewSubSection":false},{"Level":1,"Identity":"T23C31N70S4","SubSectionBookmarkName":"ss_T23C31N70S4_lv1_73665571d","IsNewSubSection":false}],"TitleRelatedTo":"","TitleSoAsTo":"","Deleted":false},{"CodeSectionBookmarkName":"ns_T23C31N80_4af709f8f","IsConstitutionSection":false,"Identity":"23-31-80","IsNew":true,"SubSections":[{"Level":1,"Identity":"T23C31N80SA","SubSectionBookmarkName":"ss_T23C31N80SA_lv1_32a35bd9f","IsNewSubSection":false},{"Level":1,"Identity":"T23C31N80SB","SubSectionBookmarkName":"ss_T23C31N80SB_lv1_986576a97","IsNewSubSection":false},{"Level":1,"Identity":"T23C31N80SC","SubSectionBookmarkName":"ss_T23C31N80SC_lv1_4922c48d6","IsNewSubSection":false}],"TitleRelatedTo":"","TitleSoAsTo":"","Deleted":false},{"CodeSectionBookmarkName":"ns_T23C31N90_8ae36de8b","IsConstitutionSection":false,"Identity":"23-31-90","IsNew":true,"SubSections":[{"Level":1,"Identity":"T23C31N90SA","SubSectionBookmarkName":"ss_T23C31N90SA_lv1_024009c63","IsNewSubSection":false},{"Level":1,"Identity":"T23C31N90SB","SubSectionBookmarkName":"ss_T23C31N90SB_lv1_2680befe6","IsNewSubSection":false},{"Level":1,"Identity":"T23C31N90SC","SubSectionBookmarkName":"ss_T23C31N90SC_lv1_aa16ed280","IsNewSubSection":false},{"Level":2,"Identity":"T23C31N90S1","SubSectionBookmarkName":"ss_T23C31N90S1_lv2_46e5c43f4","IsNewSubSection":false},{"Level":3,"Identity":"T23C31N90Sa","SubSectionBookmarkName":"ss_T23C31N90Sa_lv3_76c1f420e","IsNewSubSection":false},{"Level":3,"Identity":"T23C31N90Sb","SubSectionBookmarkName":"ss_T23C31N90Sb_lv3_330fa0e01","IsNewSubSection":false},{"Level":2,"Identity":"T23C31N90S2","SubSectionBookmarkName":"ss_T23C31N90S2_lv2_5ce1538f1","IsNewSubSection":false},{"Level":2,"Identity":"T23C31N90S3","SubSectionBookmarkName":"ss_T23C31N90S3_lv2_4d74d9059","IsNewSubSection":false}],"TitleRelatedTo":"","TitleSoAsTo":"","Deleted":false},{"CodeSectionBookmarkName":"ns_T23C31N100_7e47577d0","IsConstitutionSection":false,"Identity":"23-31-100","IsNew":true,"SubSections":[{"Level":1,"Identity":"T23C31N100SA","SubSectionBookmarkName":"ss_T23C31N100SA_lv1_70d27f662","IsNewSubSection":false},{"Level":1,"Identity":"T23C31N100SB","SubSectionBookmarkName":"ss_T23C31N100SB_lv1_869df676a","IsNewSubSection":false},{"Level":1,"Identity":"T23C31N100SC","SubSectionBookmarkName":"ss_T23C31N100SC_lv1_8b98629f7","IsNewSubSection":false}],"TitleRelatedTo":"","TitleSoAsTo":"","Deleted":false}],"TitleText":"","DisableControls":false,"Deleted":false,"SectionBookmarkName":"bs_num_1_597fc021d"},{"SectionUUID":"58820770-0938-4e78-94cf-62aa4c77e15c","SectionName":"code_section","SectionNumber":2,"SectionType":"code_section","CodeSections":[],"TitleText":"","DisableControls":false,"Deleted":false,"SectionBookmarkName":"bs_num_2_e137adc1f"},{"SectionUUID":"d03582f3-4d99-48c7-b2c9-ba88d607d30f","SectionName":"code_section","SectionNumber":3,"SectionType":"code_section","CodeSections":[],"TitleText":"","DisableControls":false,"Deleted":false,"SectionBookmarkName":"bs_num_3_5296eb923"},{"SectionUUID":"0ebb196a-c439-4833-ba21-6d2db7285710","SectionName":"standard_eff_date_section","SectionNumber":4,"SectionType":"drafting_clause","CodeSections":[],"TitleText":"","DisableControls":false,"Deleted":false,"SectionBookmarkName":"bs_num_4_lastsection"}]</T_BILL_T_SECTIONS>
  <T_BILL_T_SECTIONSHISTORY>[{"Id":1,"SectionsList":[{"SectionUUID":"a1cb6216-7211-4a33-b270-61ed6a40a5aa","SectionName":"code_section","SectionNumber":1,"SectionType":"code_section","CodeSections":[{"CodeSectionBookmarkName":"ns_T23C31N70_528e52f29","IsConstitutionSection":false,"Identity":"23-31-70","IsNew":true,"SubSections":[],"TitleRelatedTo":"","TitleSoAsTo":"","Deleted":false},{"CodeSectionBookmarkName":"ns_T23C31N80_4af709f8f","IsConstitutionSection":false,"Identity":"23-31-80","IsNew":true,"SubSections":[],"TitleRelatedTo":"","TitleSoAsTo":"","Deleted":false},{"CodeSectionBookmarkName":"ns_T23C31N90_8ae36de8b","IsConstitutionSection":false,"Identity":"23-31-90","IsNew":true,"SubSections":[],"TitleRelatedTo":"","TitleSoAsTo":"","Deleted":false},{"CodeSectionBookmarkName":"ns_T23C31N100_7e47577d0","IsConstitutionSection":false,"Identity":"23-31-100","IsNew":true,"SubSections":[],"TitleRelatedTo":"","TitleSoAsTo":"","Deleted":false}],"TitleText":"","DisableControls":false,"Deleted":false,"SectionBookmarkName":"bs_num_1_597fc021d"},{"SectionUUID":"58820770-0938-4e78-94cf-62aa4c77e15c","SectionName":"code_section","SectionNumber":2,"SectionType":"code_section","CodeSections":[],"TitleText":"","DisableControls":false,"Deleted":false,"SectionBookmarkName":"bs_num_2_e137adc1f"},{"SectionUUID":"d03582f3-4d99-48c7-b2c9-ba88d607d30f","SectionName":"code_section","SectionNumber":3,"SectionType":"code_section","CodeSections":[],"TitleText":"","DisableControls":false,"Deleted":false,"SectionBookmarkName":"bs_num_3_5296eb923"},{"SectionUUID":"0ebb196a-c439-4833-ba21-6d2db7285710","SectionName":"standard_eff_date_section","SectionNumber":4,"SectionType":"drafting_clause","CodeSections":[],"TitleText":"","DisableControls":false,"Deleted":false,"SectionBookmarkName":"bs_num_4_lastsection"}],"Timestamp":"2022-10-11T15:39:40.3427331-04:00","Username":null},{"Id":2,"SectionsList":[{"SectionUUID":"a1cb6216-7211-4a33-b270-61ed6a40a5aa","SectionName":"code_section","SectionNumber":1,"SectionType":"code_section","CodeSections":[{"CodeSectionBookmarkName":"ns_T23C31N70_528e52f29","IsConstitutionSection":false,"Identity":"23-31-70","IsNew":true,"SubSections":[{"Level":1,"Identity":"T23C31N70S1","SubSectionBookmarkName":"ss_T23C31N70S1_lv1_d70c8eaa2","IsNewSubSection":false},{"Level":2,"Identity":"T23C31N70Sa","SubSectionBookmarkName":"ss_T23C31N70Sa_lv2_76ae37588","IsNewSubSection":false},{"Level":2,"Identity":"T23C31N70Sb","SubSectionBookmarkName":"ss_T23C31N70Sb_lv2_688cc079c","IsNewSubSection":false},{"Level":3,"Identity":"T23C31N70Si","SubSectionBookmarkName":"ss_T23C31N70Si_lv3_3df9af629","IsNewSubSection":false},{"Level":3,"Identity":"T23C31N70Sii","SubSectionBookmarkName":"ss_T23C31N70Sii_lv3_b75addba6","IsNewSubSection":false},{"Level":1,"Identity":"T23C31N70S2","SubSectionBookmarkName":"ss_T23C31N70S2_lv1_1e659c516","IsNewSubSection":false},{"Level":1,"Identity":"T23C31N70S3","SubSectionBookmarkName":"ss_T23C31N70S3_lv1_0cec06123","IsNewSubSection":false},{"Level":1,"Identity":"T23C31N70S4","SubSectionBookmarkName":"ss_T23C31N70S4_lv1_73665571d","IsNewSubSection":false}],"TitleRelatedTo":"","TitleSoAsTo":"","Deleted":false},{"CodeSectionBookmarkName":"ns_T23C31N80_4af709f8f","IsConstitutionSection":false,"Identity":"23-31-80","IsNew":true,"SubSections":[{"Level":1,"Identity":"T23C31N80SA","SubSectionBookmarkName":"ss_T23C31N80SA_lv1_32a35bd9f","IsNewSubSection":false},{"Level":1,"Identity":"T23C31N80SB","SubSectionBookmarkName":"ss_T23C31N80SB_lv1_986576a97","IsNewSubSection":false},{"Level":1,"Identity":"T23C31N80SC","SubSectionBookmarkName":"ss_T23C31N80SC_lv1_4922c48d6","IsNewSubSection":false}],"TitleRelatedTo":"","TitleSoAsTo":"","Deleted":false},{"CodeSectionBookmarkName":"ns_T23C31N90_8ae36de8b","IsConstitutionSection":false,"Identity":"23-31-90","IsNew":true,"SubSections":[{"Level":1,"Identity":"T23C31N90SA","SubSectionBookmarkName":"ss_T23C31N90SA_lv1_024009c63","IsNewSubSection":false},{"Level":1,"Identity":"T23C31N90SB","SubSectionBookmarkName":"ss_T23C31N90SB_lv1_2680befe6","IsNewSubSection":false},{"Level":1,"Identity":"T23C31N90SC","SubSectionBookmarkName":"ss_T23C31N90SC_lv1_aa16ed280","IsNewSubSection":false},{"Level":2,"Identity":"T23C31N90S1","SubSectionBookmarkName":"ss_T23C31N90S1_lv2_46e5c43f4","IsNewSubSection":false},{"Level":3,"Identity":"T23C31N90Sa","SubSectionBookmarkName":"ss_T23C31N90Sa_lv3_76c1f420e","IsNewSubSection":false},{"Level":3,"Identity":"T23C31N90Sb","SubSectionBookmarkName":"ss_T23C31N90Sb_lv3_330fa0e01","IsNewSubSection":false},{"Level":2,"Identity":"T23C31N90S2","SubSectionBookmarkName":"ss_T23C31N90S2_lv2_5ce1538f1","IsNewSubSection":false},{"Level":2,"Identity":"T23C31N90S3","SubSectionBookmarkName":"ss_T23C31N90S3_lv2_4d74d9059","IsNewSubSection":false}],"TitleRelatedTo":"","TitleSoAsTo":"","Deleted":false},{"CodeSectionBookmarkName":"ns_T23C31N100_7e47577d0","IsConstitutionSection":false,"Identity":"23-31-100","IsNew":true,"SubSections":[{"Level":1,"Identity":"T23C31N100SA","SubSectionBookmarkName":"ss_T23C31N100SA_lv1_70d27f662","IsNewSubSection":false},{"Level":1,"Identity":"T23C31N100SB","SubSectionBookmarkName":"ss_T23C31N100SB_lv1_869df676a","IsNewSubSection":false},{"Level":1,"Identity":"T23C31N100SC","SubSectionBookmarkName":"ss_T23C31N100SC_lv1_8b98629f7","IsNewSubSection":false}],"TitleRelatedTo":"","TitleSoAsTo":"","Deleted":false}],"TitleText":"","DisableControls":false,"Deleted":false,"SectionBookmarkName":"bs_num_1_597fc021d"},{"SectionUUID":"58820770-0938-4e78-94cf-62aa4c77e15c","SectionName":"code_section","SectionNumber":2,"SectionType":"code_section","CodeSections":[],"TitleText":"","DisableControls":false,"Deleted":false,"SectionBookmarkName":"bs_num_2_e137adc1f"},{"SectionUUID":"d03582f3-4d99-48c7-b2c9-ba88d607d30f","SectionName":"code_section","SectionNumber":3,"SectionType":"code_section","CodeSections":[],"TitleText":"","DisableControls":false,"Deleted":false,"SectionBookmarkName":"bs_num_3_5296eb923"},{"SectionUUID":"0ebb196a-c439-4833-ba21-6d2db7285710","SectionName":"standard_eff_date_section","SectionNumber":4,"SectionType":"drafting_clause","CodeSections":[],"TitleText":"","DisableControls":false,"Deleted":false,"SectionBookmarkName":"bs_num_4_lastsection"}],"Timestamp":"2022-10-14T08:58:52.5992548-04:00","Username":"nikidowney@scstatehouse.gov"}]</T_BILL_T_SECTIONSHISTORY>
  <T_BILL_T_SUBJECT>Firearms criminal background checks</T_BILL_T_SUBJECT>
  <T_BILL_UR_DRAFTER>ashleyharwellbeach@scstatehouse.gov</T_BILL_UR_DRAFTER>
  <T_BILL_UR_DRAFTINGASSISTANT>angiemorgan@scstatehouse.gov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1199</Words>
  <Characters>6092</Characters>
  <Application>Microsoft Office Word</Application>
  <DocSecurity>0</DocSecurity>
  <Lines>114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20</cp:revision>
  <cp:lastPrinted>2022-10-14T12:57:00Z</cp:lastPrinted>
  <dcterms:created xsi:type="dcterms:W3CDTF">2022-06-03T11:45:00Z</dcterms:created>
  <dcterms:modified xsi:type="dcterms:W3CDTF">2022-10-14T12:58:00Z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