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and Jefferson</w:t>
      </w:r>
    </w:p>
    <w:p>
      <w:pPr>
        <w:widowControl w:val="false"/>
        <w:spacing w:after="0"/>
        <w:jc w:val="left"/>
      </w:pPr>
      <w:r>
        <w:rPr>
          <w:rFonts w:ascii="Times New Roman"/>
          <w:sz w:val="22"/>
        </w:rPr>
        <w:t xml:space="preserve">Document Path: LC-0010AHB23.docx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Firearms criminal background checks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837af83a8544971">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677adf8eb6048a9">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a524b6d5b746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2a7247081d431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F3A57" w14:paraId="40FEFADA" w14:textId="2AD0BFD9">
          <w:pPr>
            <w:pStyle w:val="scbilltitle"/>
            <w:tabs>
              <w:tab w:val="left" w:pos="2104"/>
            </w:tabs>
          </w:pPr>
          <w:r>
            <w:t>TO AMEND THE SOUTH CAROLINA</w:t>
          </w:r>
          <w:r w:rsidR="001078C8">
            <w:t xml:space="preserve"> code of laws</w:t>
          </w:r>
          <w:r>
            <w:t xml:space="preserve"> BY ADDING ARTICLE 2 TO CHAPTER 31, TITLE 23 ENTITLED “FIREARMS CRIMINAL BACKGROUND CHECKS” SO AS TO REQUIRE THAT A NATIONAL INSTANT CRIMINAL BACKGROUND CHECK MUST BE COMPLETED AND DELIVERY OF A FIREARM TO A PURCHASER OR TRANSFEREE MAY NOT TAKE PLACE UNTIL THE RESULTS OF ALL REQUIRED BACKGROUND CHECKS ARE KNOWN AND THE PURCHASER OR TRANSFEREE IS NOT PROHIBITED FROM DELIVERY OF THE FIREARM.</w:t>
          </w:r>
        </w:p>
      </w:sdtContent>
    </w:sdt>
    <w:bookmarkStart w:name="at_361a74cbb" w:displacedByCustomXml="prev" w:id="1"/>
    <w:bookmarkEnd w:id="1"/>
    <w:p w:rsidRPr="00DF3B44" w:rsidR="006C18F0" w:rsidP="006C18F0" w:rsidRDefault="006C18F0" w14:paraId="5BAAC1B7" w14:textId="77777777">
      <w:pPr>
        <w:pStyle w:val="scbillwhereasclause"/>
      </w:pPr>
    </w:p>
    <w:p w:rsidR="00BF3A57" w:rsidP="00BF3A57" w:rsidRDefault="00BF3A57" w14:paraId="13DBDE24" w14:textId="77777777">
      <w:pPr>
        <w:pStyle w:val="scenactingwords"/>
      </w:pPr>
      <w:bookmarkStart w:name="ew_d606beb91" w:id="2"/>
      <w:r>
        <w:t>B</w:t>
      </w:r>
      <w:bookmarkEnd w:id="2"/>
      <w:r>
        <w:t>e it enacted by the General Assembly of the State of South Carolina:</w:t>
      </w:r>
    </w:p>
    <w:p w:rsidR="00BF3A57" w:rsidP="00BF3A57" w:rsidRDefault="00BF3A57" w14:paraId="74E5D960" w14:textId="77777777">
      <w:pPr>
        <w:pStyle w:val="scemptyline"/>
      </w:pPr>
    </w:p>
    <w:p w:rsidRPr="000F6C8B" w:rsidR="00BF3A57" w:rsidP="00BF3A57" w:rsidRDefault="00BF3A57" w14:paraId="30D130F6" w14:textId="474A68D2">
      <w:pPr>
        <w:pStyle w:val="scdirectionallanguage"/>
      </w:pPr>
      <w:bookmarkStart w:name="bs_num_1_1e2796ed3" w:id="3"/>
      <w:r w:rsidRPr="000F6C8B">
        <w:rPr>
          <w:color w:val="000000" w:themeColor="text1"/>
          <w:u w:color="000000" w:themeColor="text1"/>
        </w:rPr>
        <w:t>S</w:t>
      </w:r>
      <w:bookmarkEnd w:id="3"/>
      <w:r>
        <w:t xml:space="preserve">ECTION </w:t>
      </w:r>
      <w:r w:rsidRPr="000F6C8B">
        <w:rPr>
          <w:color w:val="000000" w:themeColor="text1"/>
          <w:u w:color="000000" w:themeColor="text1"/>
        </w:rPr>
        <w:t>1.</w:t>
      </w:r>
      <w:r>
        <w:tab/>
      </w:r>
      <w:bookmarkStart w:name="dl_63befac96" w:id="4"/>
      <w:r w:rsidRPr="000F6C8B">
        <w:rPr>
          <w:color w:val="000000" w:themeColor="text1"/>
          <w:u w:color="000000" w:themeColor="text1"/>
        </w:rPr>
        <w:t>C</w:t>
      </w:r>
      <w:bookmarkEnd w:id="4"/>
      <w:r>
        <w:t xml:space="preserve">hapter 31, Title 23 of the </w:t>
      </w:r>
      <w:r w:rsidR="001078C8">
        <w:t>S.C.</w:t>
      </w:r>
      <w:r>
        <w:t xml:space="preserve"> Code is amended by adding:</w:t>
      </w:r>
    </w:p>
    <w:p w:rsidRPr="000F6C8B" w:rsidR="00BF3A57" w:rsidP="00BF3A57" w:rsidRDefault="00BF3A57" w14:paraId="64501539" w14:textId="77777777">
      <w:pPr>
        <w:pStyle w:val="scemptyline"/>
      </w:pPr>
    </w:p>
    <w:p w:rsidRPr="000F6C8B" w:rsidR="00BF3A57" w:rsidP="00BF3A57" w:rsidRDefault="00BF3A57" w14:paraId="6F4B0CF6" w14:textId="77777777">
      <w:pPr>
        <w:pStyle w:val="scnewcodesection"/>
        <w:jc w:val="center"/>
      </w:pPr>
      <w:bookmarkStart w:name="up_d95fa2385" w:id="5"/>
      <w:r w:rsidRPr="000F6C8B">
        <w:rPr>
          <w:color w:val="000000" w:themeColor="text1"/>
          <w:u w:color="000000" w:themeColor="text1"/>
        </w:rPr>
        <w:t>A</w:t>
      </w:r>
      <w:bookmarkEnd w:id="5"/>
      <w:r w:rsidRPr="000F6C8B">
        <w:rPr>
          <w:color w:val="000000" w:themeColor="text1"/>
          <w:u w:color="000000" w:themeColor="text1"/>
        </w:rPr>
        <w:t>rticle 2</w:t>
      </w:r>
    </w:p>
    <w:p w:rsidRPr="000F6C8B" w:rsidR="00BF3A57" w:rsidP="00BF3A57" w:rsidRDefault="00BF3A57" w14:paraId="2D3D30BB" w14:textId="77777777">
      <w:pPr>
        <w:pStyle w:val="scnewcodesection"/>
        <w:jc w:val="center"/>
      </w:pPr>
    </w:p>
    <w:p w:rsidRPr="000F6C8B" w:rsidR="00BF3A57" w:rsidP="00BF3A57" w:rsidRDefault="00BF3A57" w14:paraId="1F83370C" w14:textId="77777777">
      <w:pPr>
        <w:pStyle w:val="scnewcodesection"/>
        <w:jc w:val="center"/>
      </w:pPr>
      <w:bookmarkStart w:name="up_5c7aa0741" w:id="6"/>
      <w:r w:rsidRPr="000F6C8B">
        <w:rPr>
          <w:color w:val="000000" w:themeColor="text1"/>
          <w:u w:color="000000" w:themeColor="text1"/>
        </w:rPr>
        <w:t>F</w:t>
      </w:r>
      <w:bookmarkEnd w:id="6"/>
      <w:r w:rsidRPr="000F6C8B">
        <w:rPr>
          <w:color w:val="000000" w:themeColor="text1"/>
          <w:u w:color="000000" w:themeColor="text1"/>
        </w:rPr>
        <w:t>irearms Criminal Background Checks</w:t>
      </w:r>
    </w:p>
    <w:p w:rsidRPr="000F6C8B" w:rsidR="00BF3A57" w:rsidP="00BF3A57" w:rsidRDefault="00BF3A57" w14:paraId="07E39B48" w14:textId="77777777">
      <w:pPr>
        <w:pStyle w:val="scnewcodesection"/>
      </w:pPr>
    </w:p>
    <w:p w:rsidRPr="000F6C8B" w:rsidR="00BF3A57" w:rsidP="00BF3A57" w:rsidRDefault="00BF3A57" w14:paraId="41C8DD6B" w14:textId="77777777">
      <w:pPr>
        <w:pStyle w:val="scnewcodesection"/>
      </w:pPr>
      <w:r>
        <w:tab/>
      </w:r>
      <w:bookmarkStart w:name="ns_T23C31N70_9a8b14054" w:id="7"/>
      <w:r w:rsidRPr="000F6C8B">
        <w:rPr>
          <w:color w:val="000000" w:themeColor="text1"/>
          <w:u w:color="000000" w:themeColor="text1"/>
        </w:rPr>
        <w:t>S</w:t>
      </w:r>
      <w:bookmarkEnd w:id="7"/>
      <w:r>
        <w:t>ection 23</w:t>
      </w:r>
      <w:r w:rsidRPr="000F6C8B">
        <w:rPr>
          <w:color w:val="000000" w:themeColor="text1"/>
          <w:u w:color="000000" w:themeColor="text1"/>
        </w:rPr>
        <w:noBreakHyphen/>
        <w:t>31</w:t>
      </w:r>
      <w:r w:rsidRPr="000F6C8B">
        <w:rPr>
          <w:color w:val="000000" w:themeColor="text1"/>
          <w:u w:color="000000" w:themeColor="text1"/>
        </w:rPr>
        <w:noBreakHyphen/>
        <w:t>70.</w:t>
      </w:r>
      <w:r w:rsidRPr="000F6C8B">
        <w:rPr>
          <w:color w:val="000000" w:themeColor="text1"/>
          <w:u w:color="000000" w:themeColor="text1"/>
        </w:rPr>
        <w:tab/>
      </w:r>
      <w:bookmarkStart w:name="ss_T23C31N70SA_lv1_04392066d" w:id="8"/>
      <w:r w:rsidRPr="000F6C8B">
        <w:rPr>
          <w:color w:val="000000" w:themeColor="text1"/>
          <w:u w:color="000000" w:themeColor="text1"/>
        </w:rPr>
        <w:t>(</w:t>
      </w:r>
      <w:bookmarkEnd w:id="8"/>
      <w:r w:rsidRPr="000F6C8B">
        <w:rPr>
          <w:color w:val="000000" w:themeColor="text1"/>
          <w:u w:color="000000" w:themeColor="text1"/>
        </w:rPr>
        <w:t>A)</w:t>
      </w:r>
      <w:r w:rsidRPr="000F6C8B">
        <w:t xml:space="preserve"> </w:t>
      </w:r>
      <w:r w:rsidRPr="000F6C8B">
        <w:rPr>
          <w:color w:val="000000" w:themeColor="text1"/>
          <w:u w:color="000000" w:themeColor="text1"/>
        </w:rPr>
        <w:t>In addition to any other requirements pursuant to local, state, and federal law, all sales, exchanges, or transfers of firearms by licensed dealers must be conducted in accordance with the provisions of this article and the provisions of 18 U.S.C. Section 922.</w:t>
      </w:r>
    </w:p>
    <w:p w:rsidRPr="000F6C8B" w:rsidR="00BF3A57" w:rsidP="00BF3A57" w:rsidRDefault="00BF3A57" w14:paraId="51E3178E" w14:textId="77777777">
      <w:pPr>
        <w:pStyle w:val="scnewcodesection"/>
      </w:pPr>
      <w:r w:rsidRPr="000F6C8B">
        <w:rPr>
          <w:color w:val="000000" w:themeColor="text1"/>
          <w:u w:color="000000" w:themeColor="text1"/>
        </w:rPr>
        <w:tab/>
      </w:r>
      <w:bookmarkStart w:name="ss_T23C31N70SB_lv1_e2a9d277d" w:id="9"/>
      <w:r w:rsidRPr="000F6C8B">
        <w:rPr>
          <w:color w:val="000000" w:themeColor="text1"/>
          <w:u w:color="000000" w:themeColor="text1"/>
        </w:rPr>
        <w:t>(</w:t>
      </w:r>
      <w:bookmarkEnd w:id="9"/>
      <w:r w:rsidRPr="000F6C8B">
        <w:rPr>
          <w:color w:val="000000" w:themeColor="text1"/>
          <w:u w:color="000000" w:themeColor="text1"/>
        </w:rPr>
        <w:t>B)</w:t>
      </w:r>
      <w:r w:rsidRPr="000F6C8B">
        <w:t xml:space="preserve"> </w:t>
      </w:r>
      <w:r w:rsidRPr="000F6C8B">
        <w:rPr>
          <w:color w:val="000000" w:themeColor="text1"/>
          <w:u w:color="000000" w:themeColor="text1"/>
        </w:rPr>
        <w:t>Before any sale, exchange, or transfer pursuant to the provisions of this article may take place in this State, a national instant criminal background check pursuant to 18 U.S.C. Section 922 must be completed by a licensed dealer.  Notwithstanding another provision of law, a licensed dealer may not deliver a firearm to a purchaser or transferee until the results of all required background checks are known and the purchaser or transferee is not prohibited from owning or possessing a firearm pursuant to the provisions of 18 U.S.C. Section 922 or any other local, state, or federal law and the licensed dealer has been notified.</w:t>
      </w:r>
    </w:p>
    <w:p w:rsidRPr="000F6C8B" w:rsidR="00BF3A57" w:rsidP="00BF3A57" w:rsidRDefault="00BF3A57" w14:paraId="100B7995" w14:textId="77777777">
      <w:pPr>
        <w:pStyle w:val="scemptyline"/>
      </w:pPr>
    </w:p>
    <w:p w:rsidRPr="000F6C8B" w:rsidR="00BF3A57" w:rsidP="00BF3A57" w:rsidRDefault="00BF3A57" w14:paraId="2343F830" w14:textId="77777777">
      <w:pPr>
        <w:pStyle w:val="scnoncodifiedsection"/>
      </w:pPr>
      <w:bookmarkStart w:name="bs_num_2_e422c5290" w:id="10"/>
      <w:r w:rsidRPr="000F6C8B">
        <w:rPr>
          <w:color w:val="000000" w:themeColor="text1"/>
          <w:u w:color="000000" w:themeColor="text1"/>
        </w:rPr>
        <w:t>S</w:t>
      </w:r>
      <w:bookmarkEnd w:id="10"/>
      <w:r>
        <w:t xml:space="preserve">ECTION </w:t>
      </w:r>
      <w:r w:rsidRPr="000F6C8B">
        <w:rPr>
          <w:color w:val="000000" w:themeColor="text1"/>
          <w:u w:color="000000" w:themeColor="text1"/>
        </w:rPr>
        <w:t>2.</w:t>
      </w:r>
      <w:r w:rsidRPr="000F6C8B">
        <w:rPr>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w:t>
      </w:r>
      <w:r w:rsidRPr="000F6C8B">
        <w:rPr>
          <w:color w:val="000000" w:themeColor="text1"/>
          <w:u w:color="000000" w:themeColor="text1"/>
        </w:rPr>
        <w:lastRenderedPageBreak/>
        <w:t>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F3A57" w:rsidP="00BF3A57" w:rsidRDefault="00BF3A57" w14:paraId="0194FF9D" w14:textId="77777777">
      <w:pPr>
        <w:pStyle w:val="scemptyline"/>
      </w:pPr>
    </w:p>
    <w:p w:rsidR="00BF3A57" w:rsidP="00BF3A57" w:rsidRDefault="00BF3A57" w14:paraId="4C1EEA06" w14:textId="77777777">
      <w:pPr>
        <w:pStyle w:val="scnoncodifiedsection"/>
      </w:pPr>
      <w:bookmarkStart w:name="eff_date_section" w:id="11"/>
      <w:bookmarkStart w:name="bs_num_3_lastsection" w:id="12"/>
      <w:bookmarkEnd w:id="11"/>
      <w:r>
        <w:t>S</w:t>
      </w:r>
      <w:bookmarkEnd w:id="12"/>
      <w:r>
        <w:t>ECTION 3.</w:t>
      </w:r>
      <w:r>
        <w:tab/>
        <w:t>This act takes effect upon approval by the Governor.</w:t>
      </w:r>
    </w:p>
    <w:p w:rsidRPr="00DF3B44" w:rsidR="005516F6" w:rsidP="009E4191" w:rsidRDefault="00BF3A57" w14:paraId="7389F665" w14:textId="688A2B49">
      <w:pPr>
        <w:pStyle w:val="scbillendxx"/>
      </w:pPr>
      <w:r>
        <w:noBreakHyphen/>
      </w:r>
      <w:r>
        <w:noBreakHyphen/>
      </w:r>
      <w:r>
        <w:noBreakHyphen/>
      </w:r>
      <w:r>
        <w:noBreakHyphen/>
        <w:t>XX</w:t>
      </w:r>
      <w:r>
        <w:noBreakHyphen/>
      </w:r>
      <w:r>
        <w:noBreakHyphen/>
      </w:r>
      <w:r>
        <w:noBreakHyphen/>
      </w:r>
      <w:r>
        <w:noBreakHyphen/>
      </w:r>
    </w:p>
    <w:sectPr w:rsidRPr="00DF3B44" w:rsidR="005516F6" w:rsidSect="00FF48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E60EEB" w:rsidR="00685035" w:rsidRPr="007B4AF7" w:rsidRDefault="008311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7BE8">
              <w:t>[3011]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7BE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78C8"/>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BE8"/>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1145"/>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03E8"/>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A57"/>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8C7"/>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48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BE8"/>
    <w:rPr>
      <w:lang w:val="en-US"/>
    </w:rPr>
  </w:style>
  <w:style w:type="character" w:default="1" w:styleId="DefaultParagraphFont">
    <w:name w:val="Default Paragraph Font"/>
    <w:uiPriority w:val="1"/>
    <w:semiHidden/>
    <w:unhideWhenUsed/>
    <w:rsid w:val="004E7B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7BE8"/>
  </w:style>
  <w:style w:type="character" w:styleId="LineNumber">
    <w:name w:val="line number"/>
    <w:uiPriority w:val="99"/>
    <w:semiHidden/>
    <w:unhideWhenUsed/>
    <w:rsid w:val="004E7BE8"/>
    <w:rPr>
      <w:rFonts w:ascii="Times New Roman" w:hAnsi="Times New Roman"/>
      <w:b w:val="0"/>
      <w:i w:val="0"/>
      <w:sz w:val="22"/>
    </w:rPr>
  </w:style>
  <w:style w:type="paragraph" w:styleId="NoSpacing">
    <w:name w:val="No Spacing"/>
    <w:uiPriority w:val="1"/>
    <w:qFormat/>
    <w:rsid w:val="004E7BE8"/>
    <w:pPr>
      <w:spacing w:after="0" w:line="240" w:lineRule="auto"/>
    </w:pPr>
  </w:style>
  <w:style w:type="paragraph" w:customStyle="1" w:styleId="scemptylineheader">
    <w:name w:val="sc_emptyline_header"/>
    <w:qFormat/>
    <w:rsid w:val="004E7BE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E7BE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7BE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E7BE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E7B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E7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E7BE8"/>
    <w:rPr>
      <w:color w:val="808080"/>
    </w:rPr>
  </w:style>
  <w:style w:type="paragraph" w:customStyle="1" w:styleId="scdirectionallanguage">
    <w:name w:val="sc_directional_language"/>
    <w:qFormat/>
    <w:rsid w:val="004E7B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7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E7BE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E7BE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7BE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E7BE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E7B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E7BE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E7BE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7B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E7B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7BE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E7BE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E7B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E7BE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E7BE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E7BE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E7BE8"/>
    <w:rPr>
      <w:rFonts w:ascii="Times New Roman" w:hAnsi="Times New Roman"/>
      <w:color w:val="auto"/>
      <w:sz w:val="22"/>
    </w:rPr>
  </w:style>
  <w:style w:type="paragraph" w:customStyle="1" w:styleId="scclippagebillheader">
    <w:name w:val="sc_clip_page_bill_header"/>
    <w:qFormat/>
    <w:rsid w:val="004E7B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E7BE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E7BE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E7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BE8"/>
    <w:rPr>
      <w:lang w:val="en-US"/>
    </w:rPr>
  </w:style>
  <w:style w:type="paragraph" w:styleId="Footer">
    <w:name w:val="footer"/>
    <w:basedOn w:val="Normal"/>
    <w:link w:val="FooterChar"/>
    <w:uiPriority w:val="99"/>
    <w:unhideWhenUsed/>
    <w:rsid w:val="004E7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BE8"/>
    <w:rPr>
      <w:lang w:val="en-US"/>
    </w:rPr>
  </w:style>
  <w:style w:type="paragraph" w:styleId="ListParagraph">
    <w:name w:val="List Paragraph"/>
    <w:basedOn w:val="Normal"/>
    <w:uiPriority w:val="34"/>
    <w:qFormat/>
    <w:rsid w:val="004E7BE8"/>
    <w:pPr>
      <w:ind w:left="720"/>
      <w:contextualSpacing/>
    </w:pPr>
  </w:style>
  <w:style w:type="paragraph" w:customStyle="1" w:styleId="scbillfooter">
    <w:name w:val="sc_bill_footer"/>
    <w:qFormat/>
    <w:rsid w:val="004E7BE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E7BE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E7BE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E7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7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E7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E7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E7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E7BE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E7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E7BE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E7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E7BE8"/>
    <w:pPr>
      <w:widowControl w:val="0"/>
      <w:suppressAutoHyphens/>
      <w:spacing w:after="0" w:line="360" w:lineRule="auto"/>
    </w:pPr>
    <w:rPr>
      <w:rFonts w:ascii="Times New Roman" w:hAnsi="Times New Roman"/>
      <w:lang w:val="en-US"/>
    </w:rPr>
  </w:style>
  <w:style w:type="paragraph" w:customStyle="1" w:styleId="sctableln">
    <w:name w:val="sc_table_ln"/>
    <w:qFormat/>
    <w:rsid w:val="004E7BE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7BE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E7BE8"/>
    <w:rPr>
      <w:strike/>
      <w:dstrike w:val="0"/>
    </w:rPr>
  </w:style>
  <w:style w:type="character" w:customStyle="1" w:styleId="scinsert">
    <w:name w:val="sc_insert"/>
    <w:uiPriority w:val="1"/>
    <w:qFormat/>
    <w:rsid w:val="004E7BE8"/>
    <w:rPr>
      <w:caps w:val="0"/>
      <w:smallCaps w:val="0"/>
      <w:strike w:val="0"/>
      <w:dstrike w:val="0"/>
      <w:vanish w:val="0"/>
      <w:u w:val="single"/>
      <w:vertAlign w:val="baseline"/>
    </w:rPr>
  </w:style>
  <w:style w:type="character" w:customStyle="1" w:styleId="scinsertred">
    <w:name w:val="sc_insert_red"/>
    <w:uiPriority w:val="1"/>
    <w:qFormat/>
    <w:rsid w:val="004E7BE8"/>
    <w:rPr>
      <w:caps w:val="0"/>
      <w:smallCaps w:val="0"/>
      <w:strike w:val="0"/>
      <w:dstrike w:val="0"/>
      <w:vanish w:val="0"/>
      <w:color w:val="FF0000"/>
      <w:u w:val="single"/>
      <w:vertAlign w:val="baseline"/>
    </w:rPr>
  </w:style>
  <w:style w:type="character" w:customStyle="1" w:styleId="scinsertblue">
    <w:name w:val="sc_insert_blue"/>
    <w:uiPriority w:val="1"/>
    <w:qFormat/>
    <w:rsid w:val="004E7BE8"/>
    <w:rPr>
      <w:caps w:val="0"/>
      <w:smallCaps w:val="0"/>
      <w:strike w:val="0"/>
      <w:dstrike w:val="0"/>
      <w:vanish w:val="0"/>
      <w:color w:val="0070C0"/>
      <w:u w:val="single"/>
      <w:vertAlign w:val="baseline"/>
    </w:rPr>
  </w:style>
  <w:style w:type="character" w:customStyle="1" w:styleId="scstrikered">
    <w:name w:val="sc_strike_red"/>
    <w:uiPriority w:val="1"/>
    <w:qFormat/>
    <w:rsid w:val="004E7BE8"/>
    <w:rPr>
      <w:strike/>
      <w:dstrike w:val="0"/>
      <w:color w:val="FF0000"/>
    </w:rPr>
  </w:style>
  <w:style w:type="character" w:customStyle="1" w:styleId="scstrikeblue">
    <w:name w:val="sc_strike_blue"/>
    <w:uiPriority w:val="1"/>
    <w:qFormat/>
    <w:rsid w:val="004E7BE8"/>
    <w:rPr>
      <w:strike/>
      <w:dstrike w:val="0"/>
      <w:color w:val="0070C0"/>
    </w:rPr>
  </w:style>
  <w:style w:type="character" w:customStyle="1" w:styleId="scinsertbluenounderline">
    <w:name w:val="sc_insert_blue_no_underline"/>
    <w:uiPriority w:val="1"/>
    <w:qFormat/>
    <w:rsid w:val="004E7BE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E7BE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E7BE8"/>
    <w:rPr>
      <w:strike/>
      <w:dstrike w:val="0"/>
      <w:color w:val="0070C0"/>
      <w:lang w:val="en-US"/>
    </w:rPr>
  </w:style>
  <w:style w:type="character" w:customStyle="1" w:styleId="scstrikerednoncodified">
    <w:name w:val="sc_strike_red_non_codified"/>
    <w:uiPriority w:val="1"/>
    <w:qFormat/>
    <w:rsid w:val="004E7BE8"/>
    <w:rPr>
      <w:strike/>
      <w:dstrike w:val="0"/>
      <w:color w:val="FF0000"/>
    </w:rPr>
  </w:style>
  <w:style w:type="paragraph" w:customStyle="1" w:styleId="scbillsiglines">
    <w:name w:val="sc_bill_sig_lines"/>
    <w:qFormat/>
    <w:rsid w:val="004E7BE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7BE8"/>
    <w:rPr>
      <w:bdr w:val="none" w:sz="0" w:space="0" w:color="auto"/>
      <w:shd w:val="clear" w:color="auto" w:fill="FEC6C6"/>
    </w:rPr>
  </w:style>
  <w:style w:type="character" w:customStyle="1" w:styleId="screstoreblue">
    <w:name w:val="sc_restore_blue"/>
    <w:uiPriority w:val="1"/>
    <w:qFormat/>
    <w:rsid w:val="004E7BE8"/>
    <w:rPr>
      <w:color w:val="4472C4" w:themeColor="accent1"/>
      <w:bdr w:val="none" w:sz="0" w:space="0" w:color="auto"/>
      <w:shd w:val="clear" w:color="auto" w:fill="auto"/>
    </w:rPr>
  </w:style>
  <w:style w:type="character" w:customStyle="1" w:styleId="screstorered">
    <w:name w:val="sc_restore_red"/>
    <w:uiPriority w:val="1"/>
    <w:qFormat/>
    <w:rsid w:val="004E7BE8"/>
    <w:rPr>
      <w:color w:val="FF0000"/>
      <w:bdr w:val="none" w:sz="0" w:space="0" w:color="auto"/>
      <w:shd w:val="clear" w:color="auto" w:fill="auto"/>
    </w:rPr>
  </w:style>
  <w:style w:type="character" w:customStyle="1" w:styleId="scstrikenewblue">
    <w:name w:val="sc_strike_new_blue"/>
    <w:uiPriority w:val="1"/>
    <w:qFormat/>
    <w:rsid w:val="004E7BE8"/>
    <w:rPr>
      <w:strike w:val="0"/>
      <w:dstrike/>
      <w:color w:val="0070C0"/>
      <w:u w:val="none"/>
    </w:rPr>
  </w:style>
  <w:style w:type="character" w:customStyle="1" w:styleId="scstrikenewred">
    <w:name w:val="sc_strike_new_red"/>
    <w:uiPriority w:val="1"/>
    <w:qFormat/>
    <w:rsid w:val="004E7BE8"/>
    <w:rPr>
      <w:strike w:val="0"/>
      <w:dstrike/>
      <w:color w:val="FF0000"/>
      <w:u w:val="none"/>
    </w:rPr>
  </w:style>
  <w:style w:type="character" w:customStyle="1" w:styleId="scamendsenate">
    <w:name w:val="sc_amend_senate"/>
    <w:uiPriority w:val="1"/>
    <w:qFormat/>
    <w:rsid w:val="004E7BE8"/>
    <w:rPr>
      <w:bdr w:val="none" w:sz="0" w:space="0" w:color="auto"/>
      <w:shd w:val="clear" w:color="auto" w:fill="FFF2CC" w:themeFill="accent4" w:themeFillTint="33"/>
    </w:rPr>
  </w:style>
  <w:style w:type="character" w:customStyle="1" w:styleId="scamendhouse">
    <w:name w:val="sc_amend_house"/>
    <w:uiPriority w:val="1"/>
    <w:qFormat/>
    <w:rsid w:val="004E7BE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11&amp;session=125&amp;summary=B" TargetMode="External" Id="R78a524b6d5b746d0" /><Relationship Type="http://schemas.openxmlformats.org/officeDocument/2006/relationships/hyperlink" Target="https://www.scstatehouse.gov/sess125_2023-2024/prever/3011_20221208.docx" TargetMode="External" Id="R5c2a7247081d4314" /><Relationship Type="http://schemas.openxmlformats.org/officeDocument/2006/relationships/hyperlink" Target="h:\hj\20230110.docx" TargetMode="External" Id="Rd837af83a8544971" /><Relationship Type="http://schemas.openxmlformats.org/officeDocument/2006/relationships/hyperlink" Target="h:\hj\20230110.docx" TargetMode="External" Id="R8677adf8eb6048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3645586c-bf82-4c5f-9e4c-8d012105a6bc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e5aeb2b5-ed20-4447-a7a1-b61e5b1785e7</T_BILL_REQUEST_REQUEST>
  <T_BILL_R_ORIGINALDRAFT>0f2f650e-e17f-4626-9fcd-cac8b6a60308</T_BILL_R_ORIGINALDRAFT>
  <T_BILL_SPONSOR_SPONSOR>28485428-3f67-4209-87b2-3f621d68634b</T_BILL_SPONSOR_SPONSOR>
  <T_BILL_T_ACTNUMBER>None</T_BILL_T_ACTNUMBER>
  <T_BILL_T_BILLNAME>[3011]</T_BILL_T_BILLNAME>
  <T_BILL_T_BILLNUMBER>3011</T_BILL_T_BILLNUMBER>
  <T_BILL_T_BILLTITLE>TO AMEND THE SOUTH CAROLINA code of laws BY ADDING ARTICLE 2 TO CHAPTER 31, TITLE 23 ENTITLED “FIREARMS CRIMINAL BACKGROUND CHECKS” SO AS TO REQUIRE THAT A NATIONAL INSTANT CRIMINAL BACKGROUND CHECK MUST BE COMPLETED AND DELIVERY OF A FIREARM TO A PURCHASER OR TRANSFEREE MAY NOT TAKE PLACE UNTIL THE RESULTS OF ALL REQUIRED BACKGROUND CHECKS ARE KNOWN AND THE PURCHASER OR TRANSFEREE IS NOT PROHIBITED FROM DELIVERY OF THE FIREARM.</T_BILL_T_BILLTITLE>
  <T_BILL_T_CHAMBER>house</T_BILL_T_CHAMBER>
  <T_BILL_T_FILENAME> </T_BILL_T_FILENAME>
  <T_BILL_T_LEGTYPE>bill_statewide</T_BILL_T_LEGTYPE>
  <T_BILL_T_RATNUMBER>None</T_BILL_T_RATNUMBER>
  <T_BILL_T_SECTIONS>[{"SectionUUID":"4421e09d-f8bd-4d1b-b5b6-88d898b683cd","SectionName":"code_section","SectionNumber":1,"SectionType":"code_section","CodeSections":[{"CodeSectionBookmarkName":"ns_T23C31N70_9a8b14054","IsConstitutionSection":false,"Identity":"23-31-70","IsNew":true,"SubSections":[{"Level":1,"Identity":"T23C31N70SA","SubSectionBookmarkName":"ss_T23C31N70SA_lv1_04392066d","IsNewSubSection":false},{"Level":1,"Identity":"T23C31N70SB","SubSectionBookmarkName":"ss_T23C31N70SB_lv1_e2a9d277d","IsNewSubSection":false}],"TitleRelatedTo":"","TitleSoAsTo":"","Deleted":false}],"TitleText":"","DisableControls":false,"Deleted":false,"SectionBookmarkName":"bs_num_1_1e2796ed3"},{"SectionUUID":"33ebf2e1-1df4-4137-b999-dedaae38fe36","SectionName":"code_section","SectionNumber":2,"SectionType":"code_section","CodeSections":[],"TitleText":"","DisableControls":false,"Deleted":false,"SectionBookmarkName":"bs_num_2_e422c5290"},{"SectionUUID":"2c1edda1-bd18-4478-98b6-b7dff4fe4c95","SectionName":"standard_eff_date_section","SectionNumber":3,"SectionType":"drafting_clause","CodeSections":[],"TitleText":"","DisableControls":false,"Deleted":false,"SectionBookmarkName":"bs_num_3_lastsection"}]</T_BILL_T_SECTIONS>
  <T_BILL_T_SECTIONSHISTORY>[{"Id":1,"SectionsList":[{"SectionUUID":"4421e09d-f8bd-4d1b-b5b6-88d898b683cd","SectionName":"code_section","SectionNumber":1,"SectionType":"code_section","CodeSections":[{"CodeSectionBookmarkName":"ns_T23C31N70_9a8b14054","IsConstitutionSection":false,"Identity":"23-31-70","IsNew":true,"SubSections":[],"TitleRelatedTo":"","TitleSoAsTo":"","Deleted":false}],"TitleText":"","DisableControls":false,"Deleted":false,"SectionBookmarkName":"bs_num_1_1e2796ed3"},{"SectionUUID":"33ebf2e1-1df4-4137-b999-dedaae38fe36","SectionName":"code_section","SectionNumber":2,"SectionType":"code_section","CodeSections":[],"TitleText":"","DisableControls":false,"Deleted":false,"SectionBookmarkName":"bs_num_2_e422c5290"},{"SectionUUID":"2c1edda1-bd18-4478-98b6-b7dff4fe4c95","SectionName":"standard_eff_date_section","SectionNumber":3,"SectionType":"drafting_clause","CodeSections":[],"TitleText":"","DisableControls":false,"Deleted":false,"SectionBookmarkName":"bs_num_3_lastsection"}],"Timestamp":"2022-10-11T16:46:08.3350017-04:00","Username":null},{"Id":2,"SectionsList":[{"SectionUUID":"4421e09d-f8bd-4d1b-b5b6-88d898b683cd","SectionName":"code_section","SectionNumber":1,"SectionType":"code_section","CodeSections":[{"CodeSectionBookmarkName":"ns_T23C31N70_9a8b14054","IsConstitutionSection":false,"Identity":"23-31-70","IsNew":true,"SubSections":[{"Level":1,"Identity":"T23C31N70SA","SubSectionBookmarkName":"ss_T23C31N70SA_lv1_04392066d","IsNewSubSection":false},{"Level":1,"Identity":"T23C31N70SB","SubSectionBookmarkName":"ss_T23C31N70SB_lv1_e2a9d277d","IsNewSubSection":false}],"TitleRelatedTo":"","TitleSoAsTo":"","Deleted":false}],"TitleText":"","DisableControls":false,"Deleted":false,"SectionBookmarkName":"bs_num_1_1e2796ed3"},{"SectionUUID":"33ebf2e1-1df4-4137-b999-dedaae38fe36","SectionName":"code_section","SectionNumber":2,"SectionType":"code_section","CodeSections":[],"TitleText":"","DisableControls":false,"Deleted":false,"SectionBookmarkName":"bs_num_2_e422c5290"},{"SectionUUID":"2c1edda1-bd18-4478-98b6-b7dff4fe4c95","SectionName":"standard_eff_date_section","SectionNumber":3,"SectionType":"drafting_clause","CodeSections":[],"TitleText":"","DisableControls":false,"Deleted":false,"SectionBookmarkName":"bs_num_3_lastsection"}],"Timestamp":"2022-10-14T09:15:16.3899516-04:00","Username":"nikidowney@scstatehouse.gov"}]</T_BILL_T_SECTIONSHISTORY>
  <T_BILL_T_SUBJECT>Firearms criminal background checks</T_BILL_T_SUBJECT>
  <T_BILL_UR_DRAFTER>ashleyharwellbeach@scstatehouse.gov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2069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dcterms:created xsi:type="dcterms:W3CDTF">2024-05-22T15:46:00Z</dcterms:created>
  <dcterms:modified xsi:type="dcterms:W3CDTF">2024-05-22T17:45:00Z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