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Magnuson and Felder</w:t>
      </w:r>
    </w:p>
    <w:p>
      <w:pPr>
        <w:widowControl w:val="false"/>
        <w:spacing w:after="0"/>
        <w:jc w:val="left"/>
      </w:pPr>
      <w:r>
        <w:rPr>
          <w:rFonts w:ascii="Times New Roman"/>
          <w:sz w:val="22"/>
        </w:rPr>
        <w:t xml:space="preserve">Document Path: LC-0001AHB23.docx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Torts - Apportionment of Fault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30a46504e434e0b">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61bb55a5a7c24c02">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Felder
 </w:t>
      </w:r>
    </w:p>
    <w:p>
      <w:pPr>
        <w:widowControl w:val="false"/>
        <w:spacing w:after="0"/>
        <w:jc w:val="left"/>
      </w:pPr>
    </w:p>
    <w:p>
      <w:pPr>
        <w:widowControl w:val="false"/>
        <w:spacing w:after="0"/>
        <w:jc w:val="left"/>
      </w:pPr>
      <w:r>
        <w:rPr>
          <w:rFonts w:ascii="Times New Roman"/>
          <w:sz w:val="22"/>
        </w:rPr>
        <w:t xml:space="preserve">View the latest </w:t>
      </w:r>
      <w:hyperlink r:id="R347b09bcff4c4f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0734bb030c4440">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30A75" w14:paraId="40FEFADA" w14:textId="60C6439E">
          <w:pPr>
            <w:pStyle w:val="scbilltitle"/>
            <w:tabs>
              <w:tab w:val="left" w:pos="2104"/>
            </w:tabs>
          </w:pPr>
          <w:r>
            <w:t xml:space="preserve">TO AMEND </w:t>
          </w:r>
          <w:r w:rsidR="006F5D2E">
            <w:t xml:space="preserve">the south carolina code of laws by amending </w:t>
          </w:r>
          <w:r>
            <w:t>SECTION 15</w:t>
          </w:r>
          <w:r w:rsidR="00F60961">
            <w:t>‑</w:t>
          </w:r>
          <w:r>
            <w:t>38</w:t>
          </w:r>
          <w:r w:rsidR="00F60961">
            <w:t>‑</w:t>
          </w:r>
          <w:r>
            <w:t xml:space="preserve">10, RELATING TO THE SHORT TITLE OF THE CHAPTER, SO AS TO REVISE THE TITLE TO REFLECT THE PROVISIONS OF THE ACT AND ENTITLE IT THE “APPORTIONMENT OF FAULT ACT”; </w:t>
          </w:r>
          <w:r w:rsidR="00CE74A3">
            <w:t>by</w:t>
          </w:r>
          <w:r>
            <w:t xml:space="preserve"> AMEND</w:t>
          </w:r>
          <w:r w:rsidR="00E07C76">
            <w:t>ing</w:t>
          </w:r>
          <w:r>
            <w:t xml:space="preserve"> SECTION 15</w:t>
          </w:r>
          <w:r w:rsidR="00F60961">
            <w:t>‑</w:t>
          </w:r>
          <w:r>
            <w:t>38</w:t>
          </w:r>
          <w:r w:rsidR="00F60961">
            <w:t>‑</w:t>
          </w:r>
          <w:r>
            <w:t xml:space="preserve">15, RELATING TO LIABILITY OF DEFENDANTS AND APPORTIONMENT OF DAMAGES FOR ECONOMIC OR NONECONOMIC LOSSES, SO AS TO APPORTION LIABILITY ON THE BASIS OF FAULT AND MAKE CONFORMING CHANGES; AND </w:t>
          </w:r>
          <w:r w:rsidR="00E07C76">
            <w:t xml:space="preserve">by </w:t>
          </w:r>
          <w:r>
            <w:t>REPEAL</w:t>
          </w:r>
          <w:r w:rsidR="00E07C76">
            <w:t>ing</w:t>
          </w:r>
          <w:r>
            <w:t xml:space="preserve"> SECTIONS 15</w:t>
          </w:r>
          <w:r w:rsidR="00F60961">
            <w:t>‑</w:t>
          </w:r>
          <w:r>
            <w:t>38</w:t>
          </w:r>
          <w:r w:rsidR="00F60961">
            <w:t>‑</w:t>
          </w:r>
          <w:r>
            <w:t>20, 15</w:t>
          </w:r>
          <w:r w:rsidR="00F60961">
            <w:t>‑</w:t>
          </w:r>
          <w:r>
            <w:t>38</w:t>
          </w:r>
          <w:r w:rsidR="00F60961">
            <w:t>‑</w:t>
          </w:r>
          <w:r>
            <w:t>30, 15</w:t>
          </w:r>
          <w:r w:rsidR="00F60961">
            <w:t>‑</w:t>
          </w:r>
          <w:r>
            <w:t>38</w:t>
          </w:r>
          <w:r w:rsidR="00F60961">
            <w:t>‑</w:t>
          </w:r>
          <w:r>
            <w:t>40, 15</w:t>
          </w:r>
          <w:r w:rsidR="00F60961">
            <w:t>‑</w:t>
          </w:r>
          <w:r>
            <w:t>38</w:t>
          </w:r>
          <w:r w:rsidR="00F60961">
            <w:t>‑</w:t>
          </w:r>
          <w:r>
            <w:t>50, AND 15</w:t>
          </w:r>
          <w:r w:rsidR="00F60961">
            <w:t>‑</w:t>
          </w:r>
          <w:r>
            <w:t>38</w:t>
          </w:r>
          <w:r w:rsidR="00F60961">
            <w:t>‑</w:t>
          </w:r>
          <w:r>
            <w:t>65 ALL RELATING TO THE VARIOUS PROVISIONS OF THE SOUTH CAROLINA CONTRIBUTION AMONG TORTFEASORS ACT.</w:t>
          </w:r>
        </w:p>
      </w:sdtContent>
    </w:sdt>
    <w:bookmarkStart w:name="at_7897e92ac" w:displacedByCustomXml="prev" w:id="0"/>
    <w:bookmarkEnd w:id="0"/>
    <w:p w:rsidRPr="00DF3B44" w:rsidR="006C18F0" w:rsidP="006C18F0" w:rsidRDefault="006C18F0" w14:paraId="5BAAC1B7" w14:textId="77777777">
      <w:pPr>
        <w:pStyle w:val="scbillwhereasclause"/>
      </w:pPr>
    </w:p>
    <w:p w:rsidR="00330A75" w:rsidP="00330A75" w:rsidRDefault="00330A75" w14:paraId="7167451E" w14:textId="77777777">
      <w:pPr>
        <w:pStyle w:val="scenactingwords"/>
      </w:pPr>
      <w:bookmarkStart w:name="ew_6b3393f07" w:id="1"/>
      <w:r>
        <w:t>B</w:t>
      </w:r>
      <w:bookmarkEnd w:id="1"/>
      <w:r>
        <w:t>e it enacted by the General Assembly of the State of South Carolina:</w:t>
      </w:r>
    </w:p>
    <w:p w:rsidR="00330A75" w:rsidP="00330A75" w:rsidRDefault="00330A75" w14:paraId="21D38563" w14:textId="77777777">
      <w:pPr>
        <w:pStyle w:val="scemptyline"/>
      </w:pPr>
    </w:p>
    <w:p w:rsidR="00330A75" w:rsidP="00330A75" w:rsidRDefault="00330A75" w14:paraId="4AB0F99C" w14:textId="39508417">
      <w:pPr>
        <w:pStyle w:val="scdirectionallanguage"/>
      </w:pPr>
      <w:bookmarkStart w:name="bs_num_1_0822fac5a" w:id="2"/>
      <w:r w:rsidRPr="00523441">
        <w:rPr>
          <w:color w:val="000000" w:themeColor="text1"/>
          <w:u w:color="000000" w:themeColor="text1"/>
        </w:rPr>
        <w:t>S</w:t>
      </w:r>
      <w:bookmarkEnd w:id="2"/>
      <w:r>
        <w:t xml:space="preserve">ECTION </w:t>
      </w:r>
      <w:r w:rsidRPr="00523441">
        <w:rPr>
          <w:color w:val="000000" w:themeColor="text1"/>
          <w:u w:color="000000" w:themeColor="text1"/>
        </w:rPr>
        <w:t>1.</w:t>
      </w:r>
      <w:r>
        <w:tab/>
      </w:r>
      <w:bookmarkStart w:name="dl_477596dee" w:id="3"/>
      <w:r w:rsidRPr="00523441">
        <w:rPr>
          <w:color w:val="000000" w:themeColor="text1"/>
          <w:u w:color="000000" w:themeColor="text1"/>
        </w:rPr>
        <w:t>S</w:t>
      </w:r>
      <w:bookmarkEnd w:id="3"/>
      <w:r>
        <w:t>ection 15</w:t>
      </w:r>
      <w:r w:rsidR="00F60961">
        <w:rPr>
          <w:color w:val="000000" w:themeColor="text1"/>
          <w:u w:color="000000" w:themeColor="text1"/>
        </w:rPr>
        <w:t>‑</w:t>
      </w:r>
      <w:r w:rsidRPr="00523441">
        <w:rPr>
          <w:color w:val="000000" w:themeColor="text1"/>
          <w:u w:color="000000" w:themeColor="text1"/>
        </w:rPr>
        <w:t>38</w:t>
      </w:r>
      <w:r w:rsidR="00F60961">
        <w:rPr>
          <w:color w:val="000000" w:themeColor="text1"/>
          <w:u w:color="000000" w:themeColor="text1"/>
        </w:rPr>
        <w:t>‑</w:t>
      </w:r>
      <w:r w:rsidRPr="00523441">
        <w:rPr>
          <w:color w:val="000000" w:themeColor="text1"/>
          <w:u w:color="000000" w:themeColor="text1"/>
        </w:rPr>
        <w:t xml:space="preserve">10 of the </w:t>
      </w:r>
      <w:r w:rsidR="00EA4984">
        <w:rPr>
          <w:color w:val="000000" w:themeColor="text1"/>
          <w:u w:color="000000" w:themeColor="text1"/>
        </w:rPr>
        <w:t>S.C.</w:t>
      </w:r>
      <w:r w:rsidRPr="00523441">
        <w:rPr>
          <w:color w:val="000000" w:themeColor="text1"/>
          <w:u w:color="000000" w:themeColor="text1"/>
        </w:rPr>
        <w:t xml:space="preserve"> Code is amended to read:</w:t>
      </w:r>
    </w:p>
    <w:p w:rsidR="00330A75" w:rsidP="00330A75" w:rsidRDefault="00330A75" w14:paraId="0264BCED" w14:textId="77777777">
      <w:pPr>
        <w:pStyle w:val="scemptyline"/>
      </w:pPr>
    </w:p>
    <w:p w:rsidR="00330A75" w:rsidP="00330A75" w:rsidRDefault="00330A75" w14:paraId="6DB08F1C" w14:textId="3DBB0030">
      <w:pPr>
        <w:pStyle w:val="sccodifiedsection"/>
      </w:pPr>
      <w:r>
        <w:tab/>
      </w:r>
      <w:bookmarkStart w:name="cs_T15C38N10_6e33bf3c1" w:id="4"/>
      <w:r>
        <w:rPr>
          <w:color w:val="000000" w:themeColor="text1"/>
          <w:u w:color="000000" w:themeColor="text1"/>
        </w:rPr>
        <w:t>S</w:t>
      </w:r>
      <w:bookmarkEnd w:id="4"/>
      <w:r>
        <w:t>ection 15</w:t>
      </w:r>
      <w:r w:rsidR="00F60961">
        <w:rPr>
          <w:color w:val="000000" w:themeColor="text1"/>
          <w:u w:color="000000" w:themeColor="text1"/>
        </w:rPr>
        <w:t>‑</w:t>
      </w:r>
      <w:r>
        <w:rPr>
          <w:color w:val="000000" w:themeColor="text1"/>
          <w:u w:color="000000" w:themeColor="text1"/>
        </w:rPr>
        <w:t>38</w:t>
      </w:r>
      <w:r w:rsidR="00F60961">
        <w:rPr>
          <w:color w:val="000000" w:themeColor="text1"/>
          <w:u w:color="000000" w:themeColor="text1"/>
        </w:rPr>
        <w:t>‑</w:t>
      </w:r>
      <w:r>
        <w:rPr>
          <w:color w:val="000000" w:themeColor="text1"/>
          <w:u w:color="000000" w:themeColor="text1"/>
        </w:rPr>
        <w:t>10.</w:t>
      </w:r>
      <w:r>
        <w:tab/>
      </w:r>
      <w:r w:rsidRPr="00523441">
        <w:rPr>
          <w:color w:val="000000" w:themeColor="text1"/>
          <w:u w:color="000000" w:themeColor="text1"/>
        </w:rPr>
        <w:t xml:space="preserve">This chapter may be cited as the </w:t>
      </w:r>
      <w:r>
        <w:rPr>
          <w:rStyle w:val="scstrike"/>
        </w:rPr>
        <w:t>Uniform Contribution Among Tortfeasors</w:t>
      </w:r>
      <w:r w:rsidRPr="00523441">
        <w:rPr>
          <w:color w:val="000000" w:themeColor="text1"/>
          <w:u w:color="000000" w:themeColor="text1"/>
        </w:rPr>
        <w:t xml:space="preserve"> </w:t>
      </w:r>
      <w:r w:rsidR="006F5D2E">
        <w:t>“</w:t>
      </w:r>
      <w:r>
        <w:rPr>
          <w:rStyle w:val="scinsert"/>
        </w:rPr>
        <w:t>A</w:t>
      </w:r>
      <w:r w:rsidRPr="00523441">
        <w:rPr>
          <w:rStyle w:val="scinsert"/>
        </w:rPr>
        <w:t>pportionment of Fault</w:t>
      </w:r>
      <w:r>
        <w:rPr>
          <w:color w:val="000000" w:themeColor="text1"/>
          <w:u w:color="000000" w:themeColor="text1"/>
        </w:rPr>
        <w:t xml:space="preserve"> </w:t>
      </w:r>
      <w:r w:rsidRPr="00523441">
        <w:rPr>
          <w:color w:val="000000" w:themeColor="text1"/>
          <w:u w:color="000000" w:themeColor="text1"/>
        </w:rPr>
        <w:t>Act</w:t>
      </w:r>
      <w:r w:rsidR="00A21040">
        <w:rPr>
          <w:color w:val="000000" w:themeColor="text1"/>
          <w:u w:color="000000" w:themeColor="text1"/>
        </w:rPr>
        <w:t>”</w:t>
      </w:r>
      <w:r w:rsidRPr="00523441">
        <w:rPr>
          <w:color w:val="000000" w:themeColor="text1"/>
          <w:u w:color="000000" w:themeColor="text1"/>
        </w:rPr>
        <w:t>.</w:t>
      </w:r>
    </w:p>
    <w:p w:rsidR="00330A75" w:rsidP="00330A75" w:rsidRDefault="00330A75" w14:paraId="296F1C29" w14:textId="77777777">
      <w:pPr>
        <w:pStyle w:val="scemptyline"/>
      </w:pPr>
    </w:p>
    <w:p w:rsidR="00330A75" w:rsidP="00330A75" w:rsidRDefault="00330A75" w14:paraId="26982C89" w14:textId="716E17E6">
      <w:pPr>
        <w:pStyle w:val="scdirectionallanguage"/>
      </w:pPr>
      <w:bookmarkStart w:name="bs_num_2_c3cb18f0e" w:id="5"/>
      <w:r>
        <w:rPr>
          <w:color w:val="000000" w:themeColor="text1"/>
          <w:u w:color="000000" w:themeColor="text1"/>
        </w:rPr>
        <w:t>S</w:t>
      </w:r>
      <w:bookmarkEnd w:id="5"/>
      <w:r>
        <w:t xml:space="preserve">ECTION </w:t>
      </w:r>
      <w:r>
        <w:rPr>
          <w:color w:val="000000" w:themeColor="text1"/>
          <w:u w:color="000000" w:themeColor="text1"/>
        </w:rPr>
        <w:t>2.</w:t>
      </w:r>
      <w:r>
        <w:rPr>
          <w:color w:val="000000" w:themeColor="text1"/>
          <w:u w:color="000000" w:themeColor="text1"/>
        </w:rPr>
        <w:tab/>
      </w:r>
      <w:bookmarkStart w:name="dl_746e9979a" w:id="6"/>
      <w:r w:rsidRPr="00523441">
        <w:rPr>
          <w:color w:val="000000" w:themeColor="text1"/>
          <w:u w:color="000000" w:themeColor="text1"/>
        </w:rPr>
        <w:t>S</w:t>
      </w:r>
      <w:bookmarkEnd w:id="6"/>
      <w:r>
        <w:t>ection 15</w:t>
      </w:r>
      <w:r w:rsidR="00F60961">
        <w:rPr>
          <w:color w:val="000000" w:themeColor="text1"/>
          <w:u w:color="000000" w:themeColor="text1"/>
        </w:rPr>
        <w:t>‑</w:t>
      </w:r>
      <w:r w:rsidRPr="00523441">
        <w:rPr>
          <w:color w:val="000000" w:themeColor="text1"/>
          <w:u w:color="000000" w:themeColor="text1"/>
        </w:rPr>
        <w:t>38</w:t>
      </w:r>
      <w:r w:rsidR="00F60961">
        <w:rPr>
          <w:color w:val="000000" w:themeColor="text1"/>
          <w:u w:color="000000" w:themeColor="text1"/>
        </w:rPr>
        <w:t>‑</w:t>
      </w:r>
      <w:r>
        <w:rPr>
          <w:color w:val="000000" w:themeColor="text1"/>
          <w:u w:color="000000" w:themeColor="text1"/>
        </w:rPr>
        <w:t>15</w:t>
      </w:r>
      <w:r w:rsidRPr="00523441">
        <w:rPr>
          <w:color w:val="000000" w:themeColor="text1"/>
          <w:u w:color="000000" w:themeColor="text1"/>
        </w:rPr>
        <w:t xml:space="preserve"> of the </w:t>
      </w:r>
      <w:r w:rsidR="00EA4984">
        <w:rPr>
          <w:color w:val="000000" w:themeColor="text1"/>
          <w:u w:color="000000" w:themeColor="text1"/>
        </w:rPr>
        <w:t xml:space="preserve">S.C. </w:t>
      </w:r>
      <w:r w:rsidRPr="00523441">
        <w:rPr>
          <w:color w:val="000000" w:themeColor="text1"/>
          <w:u w:color="000000" w:themeColor="text1"/>
        </w:rPr>
        <w:t>Code is amended to read:</w:t>
      </w:r>
    </w:p>
    <w:p w:rsidR="00330A75" w:rsidP="00330A75" w:rsidRDefault="00330A75" w14:paraId="36F13CDE" w14:textId="77777777">
      <w:pPr>
        <w:pStyle w:val="scemptyline"/>
      </w:pPr>
    </w:p>
    <w:p w:rsidRPr="00F34938" w:rsidR="00330A75" w:rsidP="00330A75" w:rsidRDefault="00330A75" w14:paraId="5FB8D3DC" w14:textId="1BFA1486">
      <w:pPr>
        <w:pStyle w:val="sccodifiedsection"/>
      </w:pPr>
      <w:r>
        <w:tab/>
      </w:r>
      <w:bookmarkStart w:name="cs_T15C38N15_5d74a7cfd" w:id="7"/>
      <w:r>
        <w:rPr>
          <w:color w:val="000000" w:themeColor="text1"/>
          <w:u w:color="000000" w:themeColor="text1"/>
        </w:rPr>
        <w:t>S</w:t>
      </w:r>
      <w:bookmarkEnd w:id="7"/>
      <w:r>
        <w:t>ection 15</w:t>
      </w:r>
      <w:r w:rsidR="00F60961">
        <w:rPr>
          <w:color w:val="000000" w:themeColor="text1"/>
          <w:u w:color="000000" w:themeColor="text1"/>
        </w:rPr>
        <w:t>‑</w:t>
      </w:r>
      <w:r>
        <w:rPr>
          <w:color w:val="000000" w:themeColor="text1"/>
          <w:u w:color="000000" w:themeColor="text1"/>
        </w:rPr>
        <w:t>38</w:t>
      </w:r>
      <w:r w:rsidR="00F60961">
        <w:rPr>
          <w:color w:val="000000" w:themeColor="text1"/>
          <w:u w:color="000000" w:themeColor="text1"/>
        </w:rPr>
        <w:t>‑</w:t>
      </w:r>
      <w:r>
        <w:rPr>
          <w:color w:val="000000" w:themeColor="text1"/>
          <w:u w:color="000000" w:themeColor="text1"/>
        </w:rPr>
        <w:t>15.</w:t>
      </w:r>
      <w:r>
        <w:rPr>
          <w:color w:val="000000" w:themeColor="text1"/>
          <w:u w:color="000000" w:themeColor="text1"/>
        </w:rPr>
        <w:tab/>
      </w:r>
      <w:bookmarkStart w:name="ss_T15C38N15SA_lv1_f17d5c013" w:id="8"/>
      <w:r w:rsidRPr="00C74E05">
        <w:t>(</w:t>
      </w:r>
      <w:bookmarkEnd w:id="8"/>
      <w:r w:rsidRPr="00C74E05">
        <w:t>A)</w:t>
      </w:r>
      <w:r>
        <w:t xml:space="preserve"> </w:t>
      </w:r>
      <w:r w:rsidRPr="00C74E05">
        <w:t>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w:t>
      </w:r>
      <w:r>
        <w:t xml:space="preserve"> </w:t>
      </w:r>
      <w:r w:rsidRPr="00523441">
        <w:rPr>
          <w:rStyle w:val="scinsert"/>
        </w:rPr>
        <w:t>the court shall enter judgment against each party liable on the basis of such party</w:t>
      </w:r>
      <w:r>
        <w:rPr>
          <w:rStyle w:val="scinsert"/>
        </w:rPr>
        <w:t>’</w:t>
      </w:r>
      <w:r w:rsidRPr="00523441">
        <w:rPr>
          <w:rStyle w:val="scinsert"/>
        </w:rPr>
        <w:t>s percentage of fault and not on the basis of the doctrine</w:t>
      </w:r>
      <w:r>
        <w:rPr>
          <w:rStyle w:val="scinsert"/>
        </w:rPr>
        <w:t xml:space="preserve"> of joint and several liability</w:t>
      </w:r>
      <w:r>
        <w:rPr>
          <w:color w:val="000000" w:themeColor="text1"/>
          <w:u w:color="000000" w:themeColor="text1"/>
        </w:rPr>
        <w:t xml:space="preserve"> </w:t>
      </w:r>
      <w:r>
        <w:rPr>
          <w:rStyle w:val="scstrike"/>
        </w:rPr>
        <w:t>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r w:rsidRPr="002F40A8">
        <w:t>.</w:t>
      </w:r>
    </w:p>
    <w:p w:rsidRPr="00F34938" w:rsidR="00330A75" w:rsidP="00330A75" w:rsidRDefault="00330A75" w14:paraId="50A47623" w14:textId="77777777">
      <w:pPr>
        <w:pStyle w:val="sccodifiedsection"/>
      </w:pPr>
      <w:r w:rsidRPr="00F34938">
        <w:tab/>
      </w:r>
      <w:bookmarkStart w:name="ss_T15C38N15SB_lv1_dca81f86b" w:id="9"/>
      <w:r>
        <w:rPr>
          <w:rStyle w:val="scstrike"/>
        </w:rPr>
        <w:t>(</w:t>
      </w:r>
      <w:bookmarkEnd w:id="9"/>
      <w:r>
        <w:rPr>
          <w:rStyle w:val="scstrike"/>
        </w:rPr>
        <w:t>B)</w:t>
      </w:r>
      <w:r w:rsidRPr="00F34938">
        <w:t xml:space="preserve"> </w:t>
      </w:r>
      <w:r>
        <w:rPr>
          <w:rStyle w:val="scstrike"/>
        </w:rPr>
        <w:t>Apportionment of percentages of fault among defendants is to be determined as specified in subsection (C).</w:t>
      </w:r>
    </w:p>
    <w:p w:rsidRPr="00F34938" w:rsidR="00330A75" w:rsidP="00330A75" w:rsidRDefault="00330A75" w14:paraId="5055070A" w14:textId="77777777">
      <w:pPr>
        <w:pStyle w:val="sccodifiedsection"/>
      </w:pPr>
      <w:r w:rsidRPr="00F34938">
        <w:tab/>
      </w:r>
      <w:bookmarkStart w:name="ss_T15C38N15SC_lv1_9ad5da47f" w:id="10"/>
      <w:r>
        <w:rPr>
          <w:rStyle w:val="scstrike"/>
        </w:rPr>
        <w:t>(</w:t>
      </w:r>
      <w:bookmarkEnd w:id="10"/>
      <w:r>
        <w:rPr>
          <w:rStyle w:val="scstrike"/>
        </w:rPr>
        <w:t>C)</w:t>
      </w:r>
      <w:r w:rsidRPr="00F34938">
        <w:t xml:space="preserve"> </w:t>
      </w:r>
      <w:r>
        <w:rPr>
          <w:rStyle w:val="scstrike"/>
        </w:rPr>
        <w:t>The jury, or the court if there is no jury, shall:</w:t>
      </w:r>
    </w:p>
    <w:p w:rsidRPr="00F34938" w:rsidR="00330A75" w:rsidP="00330A75" w:rsidRDefault="00330A75" w14:paraId="68FBDACE" w14:textId="77777777">
      <w:pPr>
        <w:pStyle w:val="sccodifiedsection"/>
      </w:pPr>
      <w:r w:rsidRPr="00F34938">
        <w:tab/>
      </w:r>
      <w:r w:rsidRPr="00F34938">
        <w:tab/>
      </w:r>
      <w:bookmarkStart w:name="ss_T15C38N15S1_lv2_9ebcaca1b" w:id="11"/>
      <w:r>
        <w:rPr>
          <w:rStyle w:val="scstrike"/>
        </w:rPr>
        <w:t>(</w:t>
      </w:r>
      <w:bookmarkEnd w:id="11"/>
      <w:r>
        <w:rPr>
          <w:rStyle w:val="scstrike"/>
        </w:rPr>
        <w:t>1)</w:t>
      </w:r>
      <w:r w:rsidRPr="00F34938">
        <w:t xml:space="preserve"> </w:t>
      </w:r>
      <w:r>
        <w:rPr>
          <w:rStyle w:val="scstrike"/>
        </w:rPr>
        <w:t>specify the amount of damages;</w:t>
      </w:r>
    </w:p>
    <w:p w:rsidRPr="00F34938" w:rsidR="00330A75" w:rsidP="00330A75" w:rsidRDefault="00330A75" w14:paraId="2105F850" w14:textId="77777777">
      <w:pPr>
        <w:pStyle w:val="sccodifiedsection"/>
      </w:pPr>
      <w:r w:rsidRPr="00F34938">
        <w:tab/>
      </w:r>
      <w:r w:rsidRPr="00F34938">
        <w:tab/>
      </w:r>
      <w:bookmarkStart w:name="ss_T15C38N15S2_lv2_db07c9781" w:id="12"/>
      <w:r>
        <w:rPr>
          <w:rStyle w:val="scstrike"/>
        </w:rPr>
        <w:t>(</w:t>
      </w:r>
      <w:bookmarkEnd w:id="12"/>
      <w:r>
        <w:rPr>
          <w:rStyle w:val="scstrike"/>
        </w:rPr>
        <w:t>2)</w:t>
      </w:r>
      <w:r w:rsidRPr="00F34938">
        <w:t xml:space="preserve"> </w:t>
      </w:r>
      <w:r>
        <w:rPr>
          <w:rStyle w:val="scstrike"/>
        </w:rPr>
        <w:t>determine the percentage of fault, if any, of plaintiff and the amount of recoverable damages under applicable rules concerning ‘comparative negligence’; and</w:t>
      </w:r>
    </w:p>
    <w:p w:rsidRPr="00F34938" w:rsidR="00330A75" w:rsidP="00330A75" w:rsidRDefault="00330A75" w14:paraId="7D13E8FB" w14:textId="77777777">
      <w:pPr>
        <w:pStyle w:val="sccodifiedsection"/>
      </w:pPr>
      <w:r w:rsidRPr="00F34938">
        <w:tab/>
      </w:r>
      <w:r w:rsidRPr="00F34938">
        <w:tab/>
      </w:r>
      <w:bookmarkStart w:name="ss_T15C38N15S3_lv2_9b690cf23" w:id="13"/>
      <w:r>
        <w:rPr>
          <w:rStyle w:val="scstrike"/>
        </w:rPr>
        <w:t>(</w:t>
      </w:r>
      <w:bookmarkEnd w:id="13"/>
      <w:r>
        <w:rPr>
          <w:rStyle w:val="scstrike"/>
        </w:rPr>
        <w:t>3)</w:t>
      </w:r>
      <w:r w:rsidRPr="00F34938">
        <w:t xml:space="preserve"> </w:t>
      </w:r>
      <w:r>
        <w:rPr>
          <w:rStyle w:val="scstrike"/>
        </w:rPr>
        <w:t>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rsidRPr="00F34938" w:rsidR="00330A75" w:rsidP="00330A75" w:rsidRDefault="00330A75" w14:paraId="7FDDCFCE" w14:textId="77777777">
      <w:pPr>
        <w:pStyle w:val="sccodifiedsection"/>
      </w:pPr>
      <w:r w:rsidRPr="00F34938">
        <w:tab/>
      </w:r>
      <w:r w:rsidRPr="00F34938">
        <w:tab/>
      </w:r>
      <w:r w:rsidRPr="00F34938">
        <w:tab/>
      </w:r>
      <w:bookmarkStart w:name="ss_T15C38N15Sa_lv3_5d806fc27" w:id="14"/>
      <w:r>
        <w:rPr>
          <w:rStyle w:val="scstrike"/>
        </w:rPr>
        <w:t>(</w:t>
      </w:r>
      <w:bookmarkEnd w:id="14"/>
      <w:r>
        <w:rPr>
          <w:rStyle w:val="scstrike"/>
        </w:rPr>
        <w:t>a)</w:t>
      </w:r>
      <w:r w:rsidRPr="00F34938">
        <w:t xml:space="preserve"> </w:t>
      </w:r>
      <w:r>
        <w:rPr>
          <w:rStyle w:val="scstrike"/>
        </w:rPr>
        <w:t>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rsidRPr="00F34938" w:rsidR="00330A75" w:rsidP="00330A75" w:rsidRDefault="00330A75" w14:paraId="7B79FDF4" w14:textId="77777777">
      <w:pPr>
        <w:pStyle w:val="sccodifiedsection"/>
      </w:pPr>
      <w:r w:rsidRPr="00F34938">
        <w:tab/>
      </w:r>
      <w:r w:rsidRPr="00F34938">
        <w:tab/>
      </w:r>
      <w:r w:rsidRPr="00F34938">
        <w:tab/>
      </w:r>
      <w:bookmarkStart w:name="ss_T15C38N15Sb_lv3_9c69d1f77" w:id="15"/>
      <w:r>
        <w:rPr>
          <w:rStyle w:val="scstrike"/>
        </w:rPr>
        <w:t>(</w:t>
      </w:r>
      <w:bookmarkEnd w:id="15"/>
      <w:r>
        <w:rPr>
          <w:rStyle w:val="scstrike"/>
        </w:rPr>
        <w:t>b)</w:t>
      </w:r>
      <w:r w:rsidRPr="00F34938">
        <w:t xml:space="preserve"> </w:t>
      </w:r>
      <w:r>
        <w:rPr>
          <w:rStyle w:val="scstrike"/>
        </w:rPr>
        <w:t>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rsidRPr="00F34938" w:rsidR="00330A75" w:rsidP="00330A75" w:rsidRDefault="00330A75" w14:paraId="12107E0B" w14:textId="77777777">
      <w:pPr>
        <w:pStyle w:val="sccodifiedsection"/>
      </w:pPr>
      <w:r w:rsidRPr="00F34938">
        <w:tab/>
      </w:r>
      <w:bookmarkStart w:name="ss_T15C38N15SD_lv1_e6124fbc8" w:id="16"/>
      <w:r>
        <w:rPr>
          <w:rStyle w:val="scstrike"/>
        </w:rPr>
        <w:t>(</w:t>
      </w:r>
      <w:bookmarkEnd w:id="16"/>
      <w:r>
        <w:rPr>
          <w:rStyle w:val="scstrike"/>
        </w:rPr>
        <w:t>D)</w:t>
      </w:r>
      <w:r w:rsidRPr="00F34938">
        <w:t xml:space="preserve"> </w:t>
      </w:r>
      <w:r>
        <w:rPr>
          <w:rStyle w:val="scstrike"/>
        </w:rPr>
        <w:t>A defendant shall retain the right to assert that another potential tortfeasor, whether or not a party, contributed to the alleged injury or damages and/or may be liable for any or all of the damages alleged by any other party.</w:t>
      </w:r>
    </w:p>
    <w:p w:rsidRPr="00F34938" w:rsidR="00330A75" w:rsidP="00330A75" w:rsidRDefault="00330A75" w14:paraId="1DC01DFA" w14:textId="77777777">
      <w:pPr>
        <w:pStyle w:val="sccodifiedsection"/>
      </w:pPr>
      <w:r w:rsidRPr="00F34938">
        <w:tab/>
      </w:r>
      <w:bookmarkStart w:name="ss_T15C38N15SE_lv1_c10aceef6" w:id="17"/>
      <w:r>
        <w:rPr>
          <w:rStyle w:val="scstrike"/>
        </w:rPr>
        <w:t>(</w:t>
      </w:r>
      <w:bookmarkEnd w:id="17"/>
      <w:r>
        <w:rPr>
          <w:rStyle w:val="scstrike"/>
        </w:rPr>
        <w:t>E)</w:t>
      </w:r>
      <w:r w:rsidRPr="00F34938">
        <w:t xml:space="preserve"> </w:t>
      </w:r>
      <w:r>
        <w:rPr>
          <w:rStyle w:val="scstrike"/>
        </w:rPr>
        <w:t>Notwithstanding the application of this section, setoff from any settlement received from any potential tortfeasor prior to the verdict shall be applied in proportion to each defendant’s percentage of liability as determined pursuant to subsection (C).</w:t>
      </w:r>
    </w:p>
    <w:p w:rsidRPr="00F34938" w:rsidR="00330A75" w:rsidP="00330A75" w:rsidRDefault="00330A75" w14:paraId="6E4AB936" w14:textId="094E8532">
      <w:pPr>
        <w:pStyle w:val="sccodifiedsection"/>
      </w:pPr>
      <w:r w:rsidRPr="00F34938">
        <w:tab/>
      </w:r>
      <w:bookmarkStart w:name="ss_T15C38N15SF_lv1_117b8ac06" w:id="18"/>
      <w:r>
        <w:rPr>
          <w:rStyle w:val="scstrike"/>
        </w:rPr>
        <w:t>(</w:t>
      </w:r>
      <w:bookmarkEnd w:id="18"/>
      <w:r>
        <w:rPr>
          <w:rStyle w:val="scstrike"/>
        </w:rPr>
        <w:t>F)</w:t>
      </w:r>
      <w:r w:rsidRPr="00F34938">
        <w:rPr>
          <w:rStyle w:val="scstrike"/>
        </w:rPr>
        <w:t xml:space="preserve"> </w:t>
      </w:r>
      <w:r>
        <w:rPr>
          <w:rStyle w:val="scstrike"/>
        </w:rPr>
        <w:t>This section does not apply to a defendant whose conduct is determined to be wilful, wanton, reckless, grossly negligent, or intentional or conduct involving the use, sale, or possession of alcohol or the illegal or illicit use, sale, or possession of drugs.</w:t>
      </w:r>
    </w:p>
    <w:p w:rsidRPr="00523441" w:rsidR="00330A75" w:rsidP="00330A75" w:rsidRDefault="00330A75" w14:paraId="43B05211" w14:textId="77777777">
      <w:pPr>
        <w:pStyle w:val="sccodifiedsection"/>
      </w:pPr>
      <w:r w:rsidRPr="00F34938">
        <w:rPr>
          <w:color w:val="000000" w:themeColor="text1"/>
          <w:u w:color="000000" w:themeColor="text1"/>
        </w:rPr>
        <w:tab/>
      </w:r>
      <w:bookmarkStart w:name="ss_T15C38N15SB_lv1_25ea6aa5b" w:id="19"/>
      <w:r w:rsidRPr="00523441">
        <w:rPr>
          <w:rStyle w:val="scinsert"/>
        </w:rPr>
        <w:t>(</w:t>
      </w:r>
      <w:bookmarkEnd w:id="19"/>
      <w:r w:rsidRPr="00523441">
        <w:rPr>
          <w:rStyle w:val="scinsert"/>
        </w:rPr>
        <w:t>B)</w:t>
      </w:r>
      <w:r w:rsidRPr="00F34938">
        <w:t xml:space="preserve"> </w:t>
      </w:r>
      <w:r w:rsidRPr="00523441">
        <w:rPr>
          <w:rStyle w:val="scinsert"/>
        </w:rPr>
        <w:t>In order to allocate any or all fault to a nonparty, a defendant must affirmatively plead the fault of a nonparty and, absent a showing of good cause, identify the nonparty, if known, or describe the nonparty as specifically as practicable, either by motion or in the initial responsive pleading when defenses are first presented, subject to amendment any time before trial in accordance with the South Carolina Rules of Civil Procedure.</w:t>
      </w:r>
    </w:p>
    <w:p w:rsidR="00330A75" w:rsidP="00330A75" w:rsidRDefault="00330A75" w14:paraId="5E491CFB" w14:textId="77777777">
      <w:pPr>
        <w:pStyle w:val="sccodifiedsection"/>
      </w:pPr>
      <w:r w:rsidRPr="00F34938">
        <w:rPr>
          <w:color w:val="000000" w:themeColor="text1"/>
          <w:u w:color="000000" w:themeColor="text1"/>
        </w:rPr>
        <w:tab/>
      </w:r>
      <w:bookmarkStart w:name="ss_T15C38N15SC_lv1_ce98baf4a" w:id="20"/>
      <w:r w:rsidRPr="00523441">
        <w:rPr>
          <w:rStyle w:val="scinsert"/>
        </w:rPr>
        <w:t>(</w:t>
      </w:r>
      <w:bookmarkEnd w:id="20"/>
      <w:r w:rsidRPr="00523441">
        <w:rPr>
          <w:rStyle w:val="scinsert"/>
        </w:rPr>
        <w:t>C)</w:t>
      </w:r>
      <w:r w:rsidRPr="00F34938">
        <w:t xml:space="preserve"> </w:t>
      </w:r>
      <w:r w:rsidRPr="00523441">
        <w:rPr>
          <w:rStyle w:val="scinsert"/>
        </w:rPr>
        <w:t>In order to allocate any or all fault to a nonparty and include the named or unnamed nonparty on the verdict form for purposes of apportioning damages, a defendant must prove at trial, by a preponderance of the evidence, the fault of the nonparty in causing the plaintiff</w:t>
      </w:r>
      <w:r>
        <w:rPr>
          <w:rStyle w:val="scinsert"/>
        </w:rPr>
        <w:t>’s injuries.</w:t>
      </w:r>
    </w:p>
    <w:p w:rsidR="00330A75" w:rsidP="00330A75" w:rsidRDefault="00330A75" w14:paraId="35E9BBFA" w14:textId="77777777">
      <w:pPr>
        <w:pStyle w:val="scemptyline"/>
      </w:pPr>
    </w:p>
    <w:p w:rsidRPr="00523441" w:rsidR="00330A75" w:rsidP="00330A75" w:rsidRDefault="00330A75" w14:paraId="62DD23C9" w14:textId="2AD5096A">
      <w:pPr>
        <w:pStyle w:val="scnoncodifiedsection"/>
      </w:pPr>
      <w:bookmarkStart w:name="bs_num_3_4c48b36d1" w:id="21"/>
      <w:r w:rsidRPr="00523441">
        <w:rPr>
          <w:color w:val="000000" w:themeColor="text1"/>
          <w:u w:color="000000" w:themeColor="text1"/>
        </w:rPr>
        <w:t>S</w:t>
      </w:r>
      <w:bookmarkEnd w:id="21"/>
      <w:r>
        <w:t xml:space="preserve">ECTION </w:t>
      </w:r>
      <w:r w:rsidRPr="00523441">
        <w:rPr>
          <w:color w:val="000000" w:themeColor="text1"/>
          <w:u w:color="000000" w:themeColor="text1"/>
        </w:rPr>
        <w:t>3.</w:t>
      </w:r>
      <w:r w:rsidRPr="00523441">
        <w:rPr>
          <w:color w:val="000000" w:themeColor="text1"/>
          <w:u w:color="000000" w:themeColor="text1"/>
        </w:rPr>
        <w:tab/>
        <w:t>Sections 15</w:t>
      </w:r>
      <w:r w:rsidR="00F60961">
        <w:rPr>
          <w:color w:val="000000" w:themeColor="text1"/>
          <w:u w:color="000000" w:themeColor="text1"/>
        </w:rPr>
        <w:t>‑</w:t>
      </w:r>
      <w:r w:rsidRPr="00523441">
        <w:rPr>
          <w:color w:val="000000" w:themeColor="text1"/>
          <w:u w:color="000000" w:themeColor="text1"/>
        </w:rPr>
        <w:t>38</w:t>
      </w:r>
      <w:r w:rsidR="00F60961">
        <w:rPr>
          <w:color w:val="000000" w:themeColor="text1"/>
          <w:u w:color="000000" w:themeColor="text1"/>
        </w:rPr>
        <w:t>‑</w:t>
      </w:r>
      <w:r w:rsidRPr="00523441">
        <w:rPr>
          <w:color w:val="000000" w:themeColor="text1"/>
          <w:u w:color="000000" w:themeColor="text1"/>
        </w:rPr>
        <w:t>20, 15</w:t>
      </w:r>
      <w:r w:rsidR="00F60961">
        <w:rPr>
          <w:color w:val="000000" w:themeColor="text1"/>
          <w:u w:color="000000" w:themeColor="text1"/>
        </w:rPr>
        <w:t>‑</w:t>
      </w:r>
      <w:r w:rsidRPr="00523441">
        <w:rPr>
          <w:color w:val="000000" w:themeColor="text1"/>
          <w:u w:color="000000" w:themeColor="text1"/>
        </w:rPr>
        <w:t>38</w:t>
      </w:r>
      <w:r w:rsidR="00F60961">
        <w:rPr>
          <w:color w:val="000000" w:themeColor="text1"/>
          <w:u w:color="000000" w:themeColor="text1"/>
        </w:rPr>
        <w:t>‑</w:t>
      </w:r>
      <w:r w:rsidRPr="00523441">
        <w:rPr>
          <w:color w:val="000000" w:themeColor="text1"/>
          <w:u w:color="000000" w:themeColor="text1"/>
        </w:rPr>
        <w:t>30, 15</w:t>
      </w:r>
      <w:r w:rsidR="00F60961">
        <w:rPr>
          <w:color w:val="000000" w:themeColor="text1"/>
          <w:u w:color="000000" w:themeColor="text1"/>
        </w:rPr>
        <w:t>‑</w:t>
      </w:r>
      <w:r w:rsidRPr="00523441">
        <w:rPr>
          <w:color w:val="000000" w:themeColor="text1"/>
          <w:u w:color="000000" w:themeColor="text1"/>
        </w:rPr>
        <w:t>38</w:t>
      </w:r>
      <w:r w:rsidR="00F60961">
        <w:rPr>
          <w:color w:val="000000" w:themeColor="text1"/>
          <w:u w:color="000000" w:themeColor="text1"/>
        </w:rPr>
        <w:t>‑</w:t>
      </w:r>
      <w:r w:rsidRPr="00523441">
        <w:rPr>
          <w:color w:val="000000" w:themeColor="text1"/>
          <w:u w:color="000000" w:themeColor="text1"/>
        </w:rPr>
        <w:t>40, 15</w:t>
      </w:r>
      <w:r w:rsidR="00F60961">
        <w:rPr>
          <w:color w:val="000000" w:themeColor="text1"/>
          <w:u w:color="000000" w:themeColor="text1"/>
        </w:rPr>
        <w:t>‑</w:t>
      </w:r>
      <w:r w:rsidRPr="00523441">
        <w:rPr>
          <w:color w:val="000000" w:themeColor="text1"/>
          <w:u w:color="000000" w:themeColor="text1"/>
        </w:rPr>
        <w:t>38</w:t>
      </w:r>
      <w:r w:rsidR="00F60961">
        <w:rPr>
          <w:color w:val="000000" w:themeColor="text1"/>
          <w:u w:color="000000" w:themeColor="text1"/>
        </w:rPr>
        <w:t>‑</w:t>
      </w:r>
      <w:r w:rsidRPr="00523441">
        <w:rPr>
          <w:color w:val="000000" w:themeColor="text1"/>
          <w:u w:color="000000" w:themeColor="text1"/>
        </w:rPr>
        <w:t>50, and 15</w:t>
      </w:r>
      <w:r w:rsidR="00F60961">
        <w:rPr>
          <w:color w:val="000000" w:themeColor="text1"/>
          <w:u w:color="000000" w:themeColor="text1"/>
        </w:rPr>
        <w:t>‑</w:t>
      </w:r>
      <w:r w:rsidRPr="00523441">
        <w:rPr>
          <w:color w:val="000000" w:themeColor="text1"/>
          <w:u w:color="000000" w:themeColor="text1"/>
        </w:rPr>
        <w:t>38</w:t>
      </w:r>
      <w:r w:rsidR="00F60961">
        <w:rPr>
          <w:color w:val="000000" w:themeColor="text1"/>
          <w:u w:color="000000" w:themeColor="text1"/>
        </w:rPr>
        <w:t>‑</w:t>
      </w:r>
      <w:r w:rsidRPr="00523441">
        <w:rPr>
          <w:color w:val="000000" w:themeColor="text1"/>
          <w:u w:color="000000" w:themeColor="text1"/>
        </w:rPr>
        <w:t xml:space="preserve">65 of </w:t>
      </w:r>
      <w:r>
        <w:rPr>
          <w:color w:val="000000" w:themeColor="text1"/>
          <w:u w:color="000000" w:themeColor="text1"/>
        </w:rPr>
        <w:t xml:space="preserve">the </w:t>
      </w:r>
      <w:r w:rsidR="00EA4984">
        <w:rPr>
          <w:color w:val="000000" w:themeColor="text1"/>
          <w:u w:color="000000" w:themeColor="text1"/>
        </w:rPr>
        <w:t>S.C.</w:t>
      </w:r>
      <w:r>
        <w:rPr>
          <w:color w:val="000000" w:themeColor="text1"/>
          <w:u w:color="000000" w:themeColor="text1"/>
        </w:rPr>
        <w:t xml:space="preserve"> Code are repealed</w:t>
      </w:r>
      <w:r w:rsidRPr="00523441">
        <w:rPr>
          <w:color w:val="000000" w:themeColor="text1"/>
          <w:u w:color="000000" w:themeColor="text1"/>
        </w:rPr>
        <w:t>.</w:t>
      </w:r>
    </w:p>
    <w:p w:rsidRPr="00523441" w:rsidR="00330A75" w:rsidP="00330A75" w:rsidRDefault="00330A75" w14:paraId="58B2B82D" w14:textId="77777777">
      <w:pPr>
        <w:pStyle w:val="scemptyline"/>
      </w:pPr>
    </w:p>
    <w:p w:rsidR="00330A75" w:rsidP="00330A75" w:rsidRDefault="00330A75" w14:paraId="5B506E3D" w14:textId="77777777">
      <w:pPr>
        <w:pStyle w:val="scnoncodifiedsection"/>
      </w:pPr>
      <w:bookmarkStart w:name="bs_num_4_51f477873" w:id="22"/>
      <w:r w:rsidRPr="00523441">
        <w:rPr>
          <w:color w:val="000000" w:themeColor="text1"/>
          <w:u w:color="000000" w:themeColor="text1"/>
        </w:rPr>
        <w:t>S</w:t>
      </w:r>
      <w:bookmarkEnd w:id="22"/>
      <w:r>
        <w:t xml:space="preserve">ECTION </w:t>
      </w:r>
      <w:r w:rsidRPr="00523441">
        <w:rPr>
          <w:color w:val="000000" w:themeColor="text1"/>
          <w:u w:color="000000" w:themeColor="text1"/>
        </w:rPr>
        <w:t>4.</w:t>
      </w:r>
      <w:r w:rsidRPr="00523441">
        <w:rPr>
          <w:color w:val="000000" w:themeColor="text1"/>
          <w:u w:color="000000" w:themeColor="text1"/>
        </w:rPr>
        <w:tab/>
      </w:r>
      <w:r>
        <w:rPr>
          <w:color w:val="000000" w:themeColor="text1"/>
          <w:u w:color="000000" w:themeColor="text1"/>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30A75" w:rsidP="00330A75" w:rsidRDefault="00330A75" w14:paraId="37A1F679" w14:textId="77777777">
      <w:pPr>
        <w:pStyle w:val="scemptyline"/>
      </w:pPr>
    </w:p>
    <w:p w:rsidR="00330A75" w:rsidP="00330A75" w:rsidRDefault="00330A75" w14:paraId="5B795167" w14:textId="77777777">
      <w:pPr>
        <w:pStyle w:val="scnoncodifiedsection"/>
      </w:pPr>
      <w:bookmarkStart w:name="eff_date_section" w:id="23"/>
      <w:bookmarkStart w:name="bs_num_5_lastsection" w:id="24"/>
      <w:bookmarkEnd w:id="23"/>
      <w:r>
        <w:t>S</w:t>
      </w:r>
      <w:bookmarkEnd w:id="24"/>
      <w:r>
        <w:t>ECTION 5.</w:t>
      </w:r>
      <w:r>
        <w:tab/>
        <w:t>This act takes effect upon approval by the Governor.</w:t>
      </w:r>
    </w:p>
    <w:p w:rsidRPr="00DF3B44" w:rsidR="005516F6" w:rsidP="009E4191" w:rsidRDefault="00330A75" w14:paraId="7389F665" w14:textId="08C4977F">
      <w:pPr>
        <w:pStyle w:val="scbillendxx"/>
      </w:pPr>
      <w:r>
        <w:noBreakHyphen/>
      </w:r>
      <w:r>
        <w:noBreakHyphen/>
      </w:r>
      <w:r>
        <w:noBreakHyphen/>
      </w:r>
      <w:r>
        <w:noBreakHyphen/>
        <w:t>XX</w:t>
      </w:r>
      <w:r>
        <w:noBreakHyphen/>
      </w:r>
      <w:r>
        <w:noBreakHyphen/>
      </w:r>
      <w:r>
        <w:noBreakHyphen/>
      </w:r>
      <w:r>
        <w:noBreakHyphen/>
      </w:r>
    </w:p>
    <w:sectPr w:rsidRPr="00DF3B44" w:rsidR="005516F6" w:rsidSect="002A5BC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3A8E106" w:rsidR="00685035" w:rsidRPr="007B4AF7" w:rsidRDefault="002A5BC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0A75">
              <w:rPr>
                <w:noProof/>
              </w:rPr>
              <w:t>LC-0001AHB23.docx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B7B"/>
    <w:rsid w:val="00012912"/>
    <w:rsid w:val="00017FB0"/>
    <w:rsid w:val="00020B5D"/>
    <w:rsid w:val="000241C2"/>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2498"/>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5BC5"/>
    <w:rsid w:val="002A7989"/>
    <w:rsid w:val="002B02F3"/>
    <w:rsid w:val="002C3463"/>
    <w:rsid w:val="002D266D"/>
    <w:rsid w:val="002D5B3D"/>
    <w:rsid w:val="002D7447"/>
    <w:rsid w:val="002E315A"/>
    <w:rsid w:val="002E4F8C"/>
    <w:rsid w:val="002F560C"/>
    <w:rsid w:val="002F5847"/>
    <w:rsid w:val="0030425A"/>
    <w:rsid w:val="00330A75"/>
    <w:rsid w:val="003421F1"/>
    <w:rsid w:val="0034279C"/>
    <w:rsid w:val="00354F64"/>
    <w:rsid w:val="003559A1"/>
    <w:rsid w:val="00361563"/>
    <w:rsid w:val="00371D36"/>
    <w:rsid w:val="00373E17"/>
    <w:rsid w:val="003749BE"/>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558F"/>
    <w:rsid w:val="006F5D2E"/>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040"/>
    <w:rsid w:val="00A21A6F"/>
    <w:rsid w:val="00A24E56"/>
    <w:rsid w:val="00A26A62"/>
    <w:rsid w:val="00A35A9B"/>
    <w:rsid w:val="00A4070E"/>
    <w:rsid w:val="00A40CA0"/>
    <w:rsid w:val="00A4174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7D9E"/>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74A3"/>
    <w:rsid w:val="00CF68D6"/>
    <w:rsid w:val="00CF7B4A"/>
    <w:rsid w:val="00D009F8"/>
    <w:rsid w:val="00D078DA"/>
    <w:rsid w:val="00D14995"/>
    <w:rsid w:val="00D2455C"/>
    <w:rsid w:val="00D25023"/>
    <w:rsid w:val="00D27F8C"/>
    <w:rsid w:val="00D33843"/>
    <w:rsid w:val="00D54A6F"/>
    <w:rsid w:val="00D57D57"/>
    <w:rsid w:val="00D60403"/>
    <w:rsid w:val="00D62E42"/>
    <w:rsid w:val="00D772FB"/>
    <w:rsid w:val="00DA1AA0"/>
    <w:rsid w:val="00DC44A8"/>
    <w:rsid w:val="00DD728E"/>
    <w:rsid w:val="00DE4BEE"/>
    <w:rsid w:val="00DE5B3D"/>
    <w:rsid w:val="00DE7112"/>
    <w:rsid w:val="00DF19BE"/>
    <w:rsid w:val="00DF3B44"/>
    <w:rsid w:val="00E07C76"/>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4984"/>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0961"/>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F5D2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53&amp;session=125&amp;summary=B" TargetMode="External" Id="R347b09bcff4c4f15" /><Relationship Type="http://schemas.openxmlformats.org/officeDocument/2006/relationships/hyperlink" Target="https://www.scstatehouse.gov/sess125_2023-2024/prever/3053_20221208.docx" TargetMode="External" Id="R970734bb030c4440" /><Relationship Type="http://schemas.openxmlformats.org/officeDocument/2006/relationships/hyperlink" Target="h:\hj\20230110.docx" TargetMode="External" Id="R930a46504e434e0b" /><Relationship Type="http://schemas.openxmlformats.org/officeDocument/2006/relationships/hyperlink" Target="h:\hj\20230110.docx" TargetMode="External" Id="R61bb55a5a7c24c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65fbccf5-0acd-4797-910a-cad29e15f2ce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2a5c5a43-2833-4b3a-aa39-35dc262f235b</T_BILL_REQUEST_REQUEST>
  <T_BILL_R_ORIGINALDRAFT>da94ee66-7e16-4f6e-81a3-9b28edeb9c92</T_BILL_R_ORIGINALDRAFT>
  <T_BILL_SPONSOR_SPONSOR>f34e5f93-9a9e-4304-aa9b-c561c4c1c8ed</T_BILL_SPONSOR_SPONSOR>
  <T_BILL_T_ACTNUMBER>None</T_BILL_T_ACTNUMBER>
  <T_BILL_T_BILLNAME>[3053]</T_BILL_T_BILLNAME>
  <T_BILL_T_BILLNUMBER>3053</T_BILL_T_BILLNUMBER>
  <T_BILL_T_BILLTITLE>TO AMEND the south carolina code of laws by amending SECTION 15‑38‑10, RELATING TO THE SHORT TITLE OF THE CHAPTER, SO AS TO REVISE THE TITLE TO REFLECT THE PROVISIONS OF THE ACT AND ENTITLE IT THE “APPORTIONMENT OF FAULT ACT”; by AMENDing SECTION 15‑38‑15, RELATING TO LIABILITY OF DEFENDANTS AND APPORTIONMENT OF DAMAGES FOR ECONOMIC OR NONECONOMIC LOSSES, SO AS TO APPORTION LIABILITY ON THE BASIS OF FAULT AND MAKE CONFORMING CHANGES; AND by REPEALing SECTIONS 15‑38‑20, 15‑38‑30, 15‑38‑40, 15‑38‑50, AND 15‑38‑65 ALL RELATING TO THE VARIOUS PROVISIONS OF THE SOUTH CAROLINA CONTRIBUTION AMONG TORTFEASORS ACT.</T_BILL_T_BILLTITLE>
  <T_BILL_T_CHAMBER>house</T_BILL_T_CHAMBER>
  <T_BILL_T_FILENAME> </T_BILL_T_FILENAME>
  <T_BILL_T_LEGTYPE>bill_statewide</T_BILL_T_LEGTYPE>
  <T_BILL_T_RATNUMBER>None</T_BILL_T_RATNUMBER>
  <T_BILL_T_SECTIONS>[{"SectionUUID":"3a43359a-74cc-466e-b8e6-b5f03dab4608","SectionName":"code_section","SectionNumber":1,"SectionType":"code_section","CodeSections":[{"CodeSectionBookmarkName":"cs_T15C38N10_6e33bf3c1","IsConstitutionSection":false,"Identity":"15-38-10","IsNew":false,"SubSections":[],"TitleRelatedTo":"Short title.","TitleSoAsTo":"","Deleted":false}],"TitleText":"","DisableControls":false,"Deleted":false,"SectionBookmarkName":"bs_num_1_0822fac5a"},{"SectionUUID":"f8ccd6b4-43b1-4456-a56a-9682ee00ead0","SectionName":"code_section","SectionNumber":2,"SectionType":"code_section","CodeSections":[{"CodeSectionBookmarkName":"cs_T15C38N15_5d74a7cfd","IsConstitutionSection":false,"Identity":"15-38-15","IsNew":false,"SubSections":[{"Level":1,"Identity":"T15C38N15SA","SubSectionBookmarkName":"ss_T15C38N15SA_lv1_f17d5c013","IsNewSubSection":false},{"Level":1,"Identity":"T15C38N15SB","SubSectionBookmarkName":"ss_T15C38N15SB_lv1_dca81f86b","IsNewSubSection":false},{"Level":1,"Identity":"T15C38N15SC","SubSectionBookmarkName":"ss_T15C38N15SC_lv1_9ad5da47f","IsNewSubSection":false},{"Level":2,"Identity":"T15C38N15S1","SubSectionBookmarkName":"ss_T15C38N15S1_lv2_9ebcaca1b","IsNewSubSection":false},{"Level":2,"Identity":"T15C38N15S2","SubSectionBookmarkName":"ss_T15C38N15S2_lv2_db07c9781","IsNewSubSection":false},{"Level":2,"Identity":"T15C38N15S3","SubSectionBookmarkName":"ss_T15C38N15S3_lv2_9b690cf23","IsNewSubSection":false},{"Level":3,"Identity":"T15C38N15Sa","SubSectionBookmarkName":"ss_T15C38N15Sa_lv3_5d806fc27","IsNewSubSection":false},{"Level":3,"Identity":"T15C38N15Sb","SubSectionBookmarkName":"ss_T15C38N15Sb_lv3_9c69d1f77","IsNewSubSection":false},{"Level":1,"Identity":"T15C38N15SD","SubSectionBookmarkName":"ss_T15C38N15SD_lv1_e6124fbc8","IsNewSubSection":false},{"Level":1,"Identity":"T15C38N15SE","SubSectionBookmarkName":"ss_T15C38N15SE_lv1_c10aceef6","IsNewSubSection":false},{"Level":1,"Identity":"T15C38N15SF","SubSectionBookmarkName":"ss_T15C38N15SF_lv1_117b8ac06","IsNewSubSection":false},{"Level":1,"Identity":"T15C38N15SB","SubSectionBookmarkName":"ss_T15C38N15SB_lv1_25ea6aa5b","IsNewSubSection":false},{"Level":1,"Identity":"T15C38N15SC","SubSectionBookmarkName":"ss_T15C38N15SC_lv1_ce98baf4a","IsNewSubSection":false}],"TitleRelatedTo":"Liability of defendant responsible for less than fifty per cent of total fault; apportionment of percentages; willful, wanton, or grossly negligent defendant and alcoholic beverage or drug exceptions.","TitleSoAsTo":"","Deleted":false}],"TitleText":"","DisableControls":false,"Deleted":false,"SectionBookmarkName":"bs_num_2_c3cb18f0e"},{"SectionUUID":"72acfe89-383f-48a9-9a74-5dc4107c52c0","SectionName":"code_section","SectionNumber":3,"SectionType":"code_section","CodeSections":[],"TitleText":"","DisableControls":false,"Deleted":false,"SectionBookmarkName":"bs_num_3_4c48b36d1"},{"SectionUUID":"e3e03b1a-8dbc-4eeb-89e6-a443a2eaaf87","SectionName":"code_section","SectionNumber":4,"SectionType":"code_section","CodeSections":[],"TitleText":"","DisableControls":false,"Deleted":false,"SectionBookmarkName":"bs_num_4_51f477873"},{"SectionUUID":"042ed9fa-be29-482a-b906-f68f528a4969","SectionName":"standard_eff_date_section","SectionNumber":5,"SectionType":"drafting_clause","CodeSections":[],"TitleText":"","DisableControls":false,"Deleted":false,"SectionBookmarkName":"bs_num_5_lastsection"}]</T_BILL_T_SECTIONS>
  <T_BILL_T_SECTIONSHISTORY>[{"Id":1,"SectionsList":[{"SectionUUID":"3a43359a-74cc-466e-b8e6-b5f03dab4608","SectionName":"code_section","SectionNumber":1,"SectionType":"code_section","CodeSections":[{"CodeSectionBookmarkName":"cs_T15C38N10_6e33bf3c1","IsConstitutionSection":false,"Identity":"15-38-10","IsNew":false,"SubSections":[],"TitleRelatedTo":"Short title.","TitleSoAsTo":"","Deleted":false}],"TitleText":"","DisableControls":false,"Deleted":false,"SectionBookmarkName":"bs_num_1_0822fac5a"},{"SectionUUID":"f8ccd6b4-43b1-4456-a56a-9682ee00ead0","SectionName":"code_section","SectionNumber":2,"SectionType":"code_section","CodeSections":[{"CodeSectionBookmarkName":"cs_T15C38N15_5d74a7cfd","IsConstitutionSection":false,"Identity":"15-38-15","IsNew":false,"SubSections":[],"TitleRelatedTo":"Liability of defendant responsible for less than fifty per cent of total fault; apportionment of percentages; willful, wanton, or grossly negligent defendant and alcoholic beverage or drug exceptions.","TitleSoAsTo":"","Deleted":false}],"TitleText":"","DisableControls":false,"Deleted":false,"SectionBookmarkName":"bs_num_2_c3cb18f0e"},{"SectionUUID":"72acfe89-383f-48a9-9a74-5dc4107c52c0","SectionName":"code_section","SectionNumber":3,"SectionType":"code_section","CodeSections":[],"TitleText":"","DisableControls":false,"Deleted":false,"SectionBookmarkName":"bs_num_3_4c48b36d1"},{"SectionUUID":"e3e03b1a-8dbc-4eeb-89e6-a443a2eaaf87","SectionName":"code_section","SectionNumber":4,"SectionType":"code_section","CodeSections":[],"TitleText":"","DisableControls":false,"Deleted":false,"SectionBookmarkName":"bs_num_4_51f477873"},{"SectionUUID":"042ed9fa-be29-482a-b906-f68f528a4969","SectionName":"standard_eff_date_section","SectionNumber":5,"SectionType":"drafting_clause","CodeSections":[],"TitleText":"","DisableControls":false,"Deleted":false,"SectionBookmarkName":"bs_num_5_lastsection"}],"Timestamp":"2022-10-10T12:07:05.2208717-04:00","Username":null},{"Id":2,"SectionsList":[{"SectionUUID":"3a43359a-74cc-466e-b8e6-b5f03dab4608","SectionName":"code_section","SectionNumber":1,"SectionType":"code_section","CodeSections":[{"CodeSectionBookmarkName":"cs_T15C38N10_6e33bf3c1","IsConstitutionSection":false,"Identity":"15-38-10","IsNew":false,"SubSections":[],"TitleRelatedTo":"Short title.","TitleSoAsTo":"","Deleted":false}],"TitleText":"","DisableControls":false,"Deleted":false,"SectionBookmarkName":"bs_num_1_0822fac5a"},{"SectionUUID":"f8ccd6b4-43b1-4456-a56a-9682ee00ead0","SectionName":"code_section","SectionNumber":2,"SectionType":"code_section","CodeSections":[{"CodeSectionBookmarkName":"cs_T15C38N15_5d74a7cfd","IsConstitutionSection":false,"Identity":"15-38-15","IsNew":false,"SubSections":[{"Level":1,"Identity":"T15C38N15SA","SubSectionBookmarkName":"ss_T15C38N15SA_lv1_f17d5c013","IsNewSubSection":false},{"Level":1,"Identity":"T15C38N15SB","SubSectionBookmarkName":"ss_T15C38N15SB_lv1_dca81f86b","IsNewSubSection":false},{"Level":1,"Identity":"T15C38N15SC","SubSectionBookmarkName":"ss_T15C38N15SC_lv1_9ad5da47f","IsNewSubSection":false},{"Level":2,"Identity":"T15C38N15S1","SubSectionBookmarkName":"ss_T15C38N15S1_lv2_9ebcaca1b","IsNewSubSection":false},{"Level":2,"Identity":"T15C38N15S2","SubSectionBookmarkName":"ss_T15C38N15S2_lv2_db07c9781","IsNewSubSection":false},{"Level":2,"Identity":"T15C38N15S3","SubSectionBookmarkName":"ss_T15C38N15S3_lv2_9b690cf23","IsNewSubSection":false},{"Level":3,"Identity":"T15C38N15Sa","SubSectionBookmarkName":"ss_T15C38N15Sa_lv3_5d806fc27","IsNewSubSection":false},{"Level":3,"Identity":"T15C38N15Sb","SubSectionBookmarkName":"ss_T15C38N15Sb_lv3_9c69d1f77","IsNewSubSection":false},{"Level":1,"Identity":"T15C38N15SD","SubSectionBookmarkName":"ss_T15C38N15SD_lv1_e6124fbc8","IsNewSubSection":false},{"Level":1,"Identity":"T15C38N15SE","SubSectionBookmarkName":"ss_T15C38N15SE_lv1_c10aceef6","IsNewSubSection":false},{"Level":1,"Identity":"T15C38N15SF","SubSectionBookmarkName":"ss_T15C38N15SF_lv1_117b8ac06","IsNewSubSection":false},{"Level":1,"Identity":"T15C38N15SB","SubSectionBookmarkName":"ss_T15C38N15SB_lv1_25ea6aa5b","IsNewSubSection":false},{"Level":1,"Identity":"T15C38N15SC","SubSectionBookmarkName":"ss_T15C38N15SC_lv1_ce98baf4a","IsNewSubSection":false}],"TitleRelatedTo":"Liability of defendant responsible for less than fifty per cent of total fault; apportionment of percentages; willful, wanton, or grossly negligent defendant and alcoholic beverage or drug exceptions.","TitleSoAsTo":"","Deleted":false}],"TitleText":"","DisableControls":false,"Deleted":false,"SectionBookmarkName":"bs_num_2_c3cb18f0e"},{"SectionUUID":"72acfe89-383f-48a9-9a74-5dc4107c52c0","SectionName":"code_section","SectionNumber":3,"SectionType":"code_section","CodeSections":[],"TitleText":"","DisableControls":false,"Deleted":false,"SectionBookmarkName":"bs_num_3_4c48b36d1"},{"SectionUUID":"e3e03b1a-8dbc-4eeb-89e6-a443a2eaaf87","SectionName":"code_section","SectionNumber":4,"SectionType":"code_section","CodeSections":[],"TitleText":"","DisableControls":false,"Deleted":false,"SectionBookmarkName":"bs_num_4_51f477873"},{"SectionUUID":"042ed9fa-be29-482a-b906-f68f528a4969","SectionName":"standard_eff_date_section","SectionNumber":5,"SectionType":"drafting_clause","CodeSections":[],"TitleText":"","DisableControls":false,"Deleted":false,"SectionBookmarkName":"bs_num_5_lastsection"}],"Timestamp":"2022-10-11T10:07:43.4325846-04:00","Username":"chrischarlton@scstatehouse.gov"}]</T_BILL_T_SECTIONSHISTORY>
  <T_BILL_T_SUBJECT>Torts - Apportionment of Fault</T_BILL_T_SUBJECT>
  <T_BILL_UR_DRAFTER>ashleyharwellbeach@scstatehouse.gov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1098</Words>
  <Characters>5659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34</cp:revision>
  <cp:lastPrinted>2022-10-11T14:10:00Z</cp:lastPrinted>
  <dcterms:created xsi:type="dcterms:W3CDTF">2022-06-03T11:45:00Z</dcterms:created>
  <dcterms:modified xsi:type="dcterms:W3CDTF">2022-10-11T14:11:00Z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