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Haddon, Pope and Yow</w:t>
      </w:r>
    </w:p>
    <w:p>
      <w:pPr>
        <w:widowControl w:val="false"/>
        <w:spacing w:after="0"/>
        <w:jc w:val="left"/>
      </w:pPr>
      <w:r>
        <w:rPr>
          <w:rFonts w:ascii="Times New Roman"/>
          <w:sz w:val="22"/>
        </w:rPr>
        <w:t xml:space="preserve">Companion/Similar bill(s): 363, 3411, 3414</w:t>
      </w:r>
    </w:p>
    <w:p>
      <w:pPr>
        <w:widowControl w:val="false"/>
        <w:spacing w:after="0"/>
        <w:jc w:val="left"/>
      </w:pPr>
      <w:r>
        <w:rPr>
          <w:rFonts w:ascii="Times New Roman"/>
          <w:sz w:val="22"/>
        </w:rPr>
        <w:t xml:space="preserve">Document Path: LC-0133CM23.docx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Limitations on altering a vehicle's height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bc95e9612b04753">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362945470d2348c8">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4fa9bea909ae4a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03662a0e63475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967E5" w14:paraId="40FEFADA" w14:textId="0EB868EE">
          <w:pPr>
            <w:pStyle w:val="scbilltitle"/>
            <w:tabs>
              <w:tab w:val="left" w:pos="2104"/>
            </w:tabs>
          </w:pPr>
          <w:r>
            <w:t xml:space="preserve">TO AMEND </w:t>
          </w:r>
          <w:r w:rsidR="007D4FA5">
            <w:t xml:space="preserve">the south carolina code of laws by amending </w:t>
          </w:r>
          <w:r>
            <w:t>SECTION 56-5-4445, RELATING TO THE RESTRICTION</w:t>
          </w:r>
          <w:r w:rsidR="007D4FA5">
            <w:t>s</w:t>
          </w:r>
          <w:r>
            <w:t xml:space="preserve"> O</w:t>
          </w:r>
          <w:r w:rsidR="007D4FA5">
            <w:t>n</w:t>
          </w:r>
          <w:r>
            <w:t xml:space="preserve"> ELEVATING OR LOWERING A MOTOR VEHICLE, SO AS TO PROHIBIT MOTOR VEHICLE MODIFICATIONS THAT RESULT IN </w:t>
          </w:r>
          <w:r w:rsidR="00610CFB">
            <w:t>certain</w:t>
          </w:r>
          <w:r>
            <w:t xml:space="preserve"> MOTOR VEHICLES</w:t>
          </w:r>
          <w:r w:rsidR="00610CFB">
            <w:t>’</w:t>
          </w:r>
          <w:r>
            <w:t xml:space="preserve"> FRONT FENDER</w:t>
          </w:r>
          <w:r w:rsidR="00610CFB">
            <w:t>s</w:t>
          </w:r>
          <w:r>
            <w:t xml:space="preserve"> BEING RAISED FOUR OR MORE INCHES ABOVE THE HEIGHT OF THE</w:t>
          </w:r>
          <w:r w:rsidR="00610CFB">
            <w:t>ir</w:t>
          </w:r>
          <w:r>
            <w:t xml:space="preserve"> REAR FENDER</w:t>
          </w:r>
          <w:r w:rsidR="00610CFB">
            <w:t>s</w:t>
          </w:r>
          <w:r>
            <w:t xml:space="preserve"> AND TO PROVIDE PENALTIES.</w:t>
          </w:r>
        </w:p>
      </w:sdtContent>
    </w:sdt>
    <w:bookmarkStart w:name="at_a2000dbc9" w:displacedByCustomXml="prev" w:id="0"/>
    <w:bookmarkEnd w:id="0"/>
    <w:p w:rsidRPr="00DF3B44" w:rsidR="006C18F0" w:rsidP="006C18F0" w:rsidRDefault="006C18F0" w14:paraId="5BAAC1B7" w14:textId="77777777">
      <w:pPr>
        <w:pStyle w:val="scbillwhereasclause"/>
      </w:pPr>
    </w:p>
    <w:p w:rsidR="00C967E5" w:rsidP="00C967E5" w:rsidRDefault="00C967E5" w14:paraId="07D392BE" w14:textId="77777777">
      <w:pPr>
        <w:pStyle w:val="scenactingwords"/>
      </w:pPr>
      <w:bookmarkStart w:name="ew_1cecd5c9d" w:id="1"/>
      <w:r>
        <w:t>B</w:t>
      </w:r>
      <w:bookmarkEnd w:id="1"/>
      <w:r>
        <w:t>e it enacted by the General Assembly of the State of South Carolina:</w:t>
      </w:r>
    </w:p>
    <w:p w:rsidR="00C967E5" w:rsidP="00C967E5" w:rsidRDefault="00C967E5" w14:paraId="5AB126C3" w14:textId="77777777">
      <w:pPr>
        <w:pStyle w:val="scemptyline"/>
      </w:pPr>
    </w:p>
    <w:p w:rsidR="00C967E5" w:rsidP="00C967E5" w:rsidRDefault="00C967E5" w14:paraId="5928F954" w14:textId="3856E893">
      <w:pPr>
        <w:pStyle w:val="scdirectionallanguage"/>
      </w:pPr>
      <w:bookmarkStart w:name="bs_num_1_10f854c9b" w:id="2"/>
      <w:r w:rsidRPr="00AF2AA0">
        <w:rPr>
          <w:color w:val="000000" w:themeColor="text1"/>
          <w:u w:color="000000" w:themeColor="text1"/>
        </w:rPr>
        <w:t>S</w:t>
      </w:r>
      <w:bookmarkEnd w:id="2"/>
      <w:r>
        <w:t xml:space="preserve">ECTION </w:t>
      </w:r>
      <w:r w:rsidRPr="00AF2AA0">
        <w:rPr>
          <w:color w:val="000000" w:themeColor="text1"/>
          <w:u w:color="000000" w:themeColor="text1"/>
        </w:rPr>
        <w:t>1.</w:t>
      </w:r>
      <w:r>
        <w:rPr>
          <w:color w:val="000000" w:themeColor="text1"/>
          <w:u w:color="000000" w:themeColor="text1"/>
        </w:rPr>
        <w:tab/>
      </w:r>
      <w:bookmarkStart w:name="dl_e68ce8e98" w:id="3"/>
      <w:r w:rsidRPr="00AF2AA0">
        <w:rPr>
          <w:color w:val="000000" w:themeColor="text1"/>
          <w:u w:color="000000" w:themeColor="text1"/>
        </w:rPr>
        <w:t>S</w:t>
      </w:r>
      <w:bookmarkEnd w:id="3"/>
      <w:r>
        <w:t>ection 56</w:t>
      </w:r>
      <w:r w:rsidRPr="00AF2AA0">
        <w:rPr>
          <w:color w:val="000000" w:themeColor="text1"/>
          <w:u w:color="000000" w:themeColor="text1"/>
        </w:rPr>
        <w:noBreakHyphen/>
        <w:t>5</w:t>
      </w:r>
      <w:r w:rsidRPr="00AF2AA0">
        <w:rPr>
          <w:color w:val="000000" w:themeColor="text1"/>
          <w:u w:color="000000" w:themeColor="text1"/>
        </w:rPr>
        <w:noBreakHyphen/>
        <w:t xml:space="preserve">4445 of the </w:t>
      </w:r>
      <w:r w:rsidR="007F069E">
        <w:rPr>
          <w:color w:val="000000" w:themeColor="text1"/>
          <w:u w:color="000000" w:themeColor="text1"/>
        </w:rPr>
        <w:t>S.C.</w:t>
      </w:r>
      <w:r w:rsidRPr="00AF2AA0">
        <w:rPr>
          <w:color w:val="000000" w:themeColor="text1"/>
          <w:u w:color="000000" w:themeColor="text1"/>
        </w:rPr>
        <w:t xml:space="preserve"> Code is amended to read:</w:t>
      </w:r>
    </w:p>
    <w:p w:rsidRPr="00AF2AA0" w:rsidR="00C967E5" w:rsidP="00C967E5" w:rsidRDefault="00C967E5" w14:paraId="13F1FA56" w14:textId="77777777">
      <w:pPr>
        <w:pStyle w:val="scemptyline"/>
      </w:pPr>
    </w:p>
    <w:p w:rsidRPr="00AF2AA0" w:rsidR="00C967E5" w:rsidP="00C967E5" w:rsidRDefault="00C967E5" w14:paraId="451D8185" w14:textId="72CCC667">
      <w:pPr>
        <w:pStyle w:val="sccodifiedsection"/>
      </w:pPr>
      <w:bookmarkStart w:name="cs_T56C5N4445_5438e3350" w:id="4"/>
      <w:r w:rsidRPr="00AF2AA0">
        <w:rPr>
          <w:color w:val="000000" w:themeColor="text1"/>
          <w:u w:color="000000" w:themeColor="text1"/>
        </w:rPr>
        <w:t>S</w:t>
      </w:r>
      <w:bookmarkEnd w:id="4"/>
      <w:r>
        <w:t>ection 56</w:t>
      </w:r>
      <w:r w:rsidRPr="00AF2AA0">
        <w:rPr>
          <w:color w:val="000000" w:themeColor="text1"/>
          <w:u w:color="000000" w:themeColor="text1"/>
        </w:rPr>
        <w:noBreakHyphen/>
        <w:t>5</w:t>
      </w:r>
      <w:r w:rsidRPr="00AF2AA0">
        <w:rPr>
          <w:color w:val="000000" w:themeColor="text1"/>
          <w:u w:color="000000" w:themeColor="text1"/>
        </w:rPr>
        <w:noBreakHyphen/>
        <w:t>4445.</w:t>
      </w:r>
      <w:r>
        <w:rPr>
          <w:color w:val="000000" w:themeColor="text1"/>
          <w:u w:color="000000" w:themeColor="text1"/>
        </w:rPr>
        <w:tab/>
      </w:r>
      <w:bookmarkStart w:name="ss_T56C5N4445SA_lv1_5dba295a9" w:id="5"/>
      <w:r w:rsidRPr="00AF2AA0">
        <w:rPr>
          <w:rStyle w:val="scinsert"/>
        </w:rPr>
        <w:t>(</w:t>
      </w:r>
      <w:bookmarkEnd w:id="5"/>
      <w:r w:rsidRPr="00AF2AA0">
        <w:rPr>
          <w:rStyle w:val="scinsert"/>
        </w:rPr>
        <w:t>A)</w:t>
      </w:r>
      <w:r>
        <w:t xml:space="preserve"> </w:t>
      </w:r>
      <w:r w:rsidRPr="00AF2AA0">
        <w:rPr>
          <w:color w:val="000000" w:themeColor="text1"/>
          <w:u w:color="000000" w:themeColor="text1"/>
        </w:rPr>
        <w:t xml:space="preserve">It shall be unlawful for any person to drive a passenger motor vehicle on the highways of this State which has been elevated or lowered </w:t>
      </w:r>
      <w:r>
        <w:rPr>
          <w:rStyle w:val="scstrike"/>
        </w:rPr>
        <w:t>either in front or back</w:t>
      </w:r>
      <w:r w:rsidRPr="00AF2AA0">
        <w:rPr>
          <w:rStyle w:val="scinsert"/>
        </w:rPr>
        <w:t>, yet still leveled,</w:t>
      </w:r>
      <w:r w:rsidRPr="00AF2AA0">
        <w:rPr>
          <w:color w:val="000000" w:themeColor="text1"/>
          <w:u w:color="000000" w:themeColor="text1"/>
        </w:rPr>
        <w:t xml:space="preserve"> more than six inches by a modification, alteration</w:t>
      </w:r>
      <w:r w:rsidR="00385424">
        <w:rPr>
          <w:rStyle w:val="scinsert"/>
          <w:color w:val="000000" w:themeColor="text1"/>
          <w:u w:color="000000" w:themeColor="text1"/>
        </w:rPr>
        <w:t>,</w:t>
      </w:r>
      <w:r w:rsidRPr="00AF2AA0">
        <w:rPr>
          <w:color w:val="000000" w:themeColor="text1"/>
          <w:u w:color="000000" w:themeColor="text1"/>
        </w:rPr>
        <w:t xml:space="preserve"> or change in the physical structure of the vehicle. Any person violating the provisions of this section </w:t>
      </w:r>
      <w:r>
        <w:rPr>
          <w:rStyle w:val="scstrike"/>
        </w:rPr>
        <w:t>shall be deemed</w:t>
      </w:r>
      <w:r w:rsidRPr="00AF2AA0">
        <w:rPr>
          <w:color w:val="000000" w:themeColor="text1"/>
          <w:u w:color="000000" w:themeColor="text1"/>
        </w:rPr>
        <w:t xml:space="preserve"> </w:t>
      </w:r>
      <w:r w:rsidRPr="00AF2AA0">
        <w:rPr>
          <w:rStyle w:val="scinsert"/>
        </w:rPr>
        <w:t>is</w:t>
      </w:r>
      <w:r w:rsidRPr="00AF2AA0">
        <w:rPr>
          <w:color w:val="000000" w:themeColor="text1"/>
          <w:u w:color="000000" w:themeColor="text1"/>
        </w:rPr>
        <w:t xml:space="preserve"> guilty of a misdemeanor and</w:t>
      </w:r>
      <w:r w:rsidRPr="00AF2AA0">
        <w:rPr>
          <w:rStyle w:val="scinsert"/>
        </w:rPr>
        <w:t>,</w:t>
      </w:r>
      <w:r w:rsidRPr="00AF2AA0">
        <w:rPr>
          <w:color w:val="000000" w:themeColor="text1"/>
          <w:u w:color="000000" w:themeColor="text1"/>
        </w:rPr>
        <w:t xml:space="preserve"> upon conviction</w:t>
      </w:r>
      <w:r w:rsidRPr="00AF2AA0">
        <w:rPr>
          <w:rStyle w:val="scinsert"/>
        </w:rPr>
        <w:t>,</w:t>
      </w:r>
      <w:r w:rsidRPr="00AF2AA0">
        <w:rPr>
          <w:color w:val="000000" w:themeColor="text1"/>
          <w:u w:color="000000" w:themeColor="text1"/>
        </w:rPr>
        <w:t xml:space="preserve"> shall be fined not less than twenty</w:t>
      </w:r>
      <w:r w:rsidRPr="00AF2AA0">
        <w:rPr>
          <w:color w:val="000000" w:themeColor="text1"/>
          <w:u w:color="000000" w:themeColor="text1"/>
        </w:rPr>
        <w:noBreakHyphen/>
        <w:t xml:space="preserve">five dollars nor more than fifty dollars. Provided, however, </w:t>
      </w:r>
      <w:r w:rsidRPr="00AF2AA0">
        <w:rPr>
          <w:rStyle w:val="scinsert"/>
        </w:rPr>
        <w:t>the provisions in</w:t>
      </w:r>
      <w:r w:rsidRPr="00AF2AA0">
        <w:rPr>
          <w:color w:val="000000" w:themeColor="text1"/>
          <w:u w:color="000000" w:themeColor="text1"/>
        </w:rPr>
        <w:t xml:space="preserve"> this </w:t>
      </w:r>
      <w:r w:rsidRPr="00AF2AA0">
        <w:rPr>
          <w:rStyle w:val="scinsert"/>
        </w:rPr>
        <w:t>subsection</w:t>
      </w:r>
      <w:r w:rsidRPr="00AF2AA0">
        <w:rPr>
          <w:color w:val="000000" w:themeColor="text1"/>
          <w:u w:color="000000" w:themeColor="text1"/>
        </w:rPr>
        <w:t xml:space="preserve"> </w:t>
      </w:r>
      <w:r>
        <w:rPr>
          <w:rStyle w:val="scstrike"/>
        </w:rPr>
        <w:t>shall</w:t>
      </w:r>
      <w:r w:rsidRPr="00AF2AA0">
        <w:rPr>
          <w:color w:val="000000" w:themeColor="text1"/>
          <w:u w:color="000000" w:themeColor="text1"/>
        </w:rPr>
        <w:t xml:space="preserve"> </w:t>
      </w:r>
      <w:r w:rsidRPr="00AF2AA0">
        <w:rPr>
          <w:rStyle w:val="scinsert"/>
        </w:rPr>
        <w:t>do</w:t>
      </w:r>
      <w:r w:rsidRPr="00AF2AA0">
        <w:rPr>
          <w:color w:val="000000" w:themeColor="text1"/>
          <w:u w:color="000000" w:themeColor="text1"/>
        </w:rPr>
        <w:t xml:space="preserve"> not apply to motor vehicles commonly </w:t>
      </w:r>
      <w:r>
        <w:rPr>
          <w:rStyle w:val="scstrike"/>
        </w:rPr>
        <w:t>called</w:t>
      </w:r>
      <w:r w:rsidRPr="00AF2AA0">
        <w:rPr>
          <w:color w:val="000000" w:themeColor="text1"/>
          <w:u w:color="000000" w:themeColor="text1"/>
        </w:rPr>
        <w:t xml:space="preserve"> </w:t>
      </w:r>
      <w:r w:rsidRPr="00AF2AA0">
        <w:rPr>
          <w:rStyle w:val="scinsert"/>
        </w:rPr>
        <w:t>referred to as</w:t>
      </w:r>
      <w:r w:rsidRPr="00AF2AA0">
        <w:rPr>
          <w:color w:val="000000" w:themeColor="text1"/>
          <w:u w:color="000000" w:themeColor="text1"/>
        </w:rPr>
        <w:t xml:space="preserve"> </w:t>
      </w:r>
      <w:r w:rsidR="007F069E">
        <w:rPr>
          <w:color w:val="000000" w:themeColor="text1"/>
          <w:u w:color="000000" w:themeColor="text1"/>
        </w:rPr>
        <w:t>“</w:t>
      </w:r>
      <w:r w:rsidRPr="00AF2AA0">
        <w:rPr>
          <w:color w:val="000000" w:themeColor="text1"/>
          <w:u w:color="000000" w:themeColor="text1"/>
        </w:rPr>
        <w:t>pickup trucks</w:t>
      </w:r>
      <w:r w:rsidR="007F069E">
        <w:rPr>
          <w:color w:val="000000" w:themeColor="text1"/>
          <w:u w:color="000000" w:themeColor="text1"/>
        </w:rPr>
        <w:t>”</w:t>
      </w:r>
      <w:r w:rsidRPr="00AF2AA0">
        <w:rPr>
          <w:color w:val="000000" w:themeColor="text1"/>
          <w:u w:color="000000" w:themeColor="text1"/>
        </w:rPr>
        <w:t>.</w:t>
      </w:r>
    </w:p>
    <w:p w:rsidRPr="00AF2AA0" w:rsidR="00C967E5" w:rsidP="00C967E5" w:rsidRDefault="00C967E5" w14:paraId="17FEA1B6" w14:textId="77777777">
      <w:pPr>
        <w:pStyle w:val="sccodifiedsection"/>
      </w:pPr>
      <w:r w:rsidRPr="00561C6D">
        <w:rPr>
          <w:color w:val="000000" w:themeColor="text1"/>
          <w:u w:color="000000" w:themeColor="text1"/>
        </w:rPr>
        <w:tab/>
      </w:r>
      <w:bookmarkStart w:name="ss_T56C5N4445SB_lv1_123e5035b" w:id="6"/>
      <w:r w:rsidRPr="00AF2AA0">
        <w:rPr>
          <w:rStyle w:val="scinsert"/>
        </w:rPr>
        <w:t>(</w:t>
      </w:r>
      <w:bookmarkEnd w:id="6"/>
      <w:r w:rsidRPr="00AF2AA0">
        <w:rPr>
          <w:rStyle w:val="scinsert"/>
        </w:rPr>
        <w:t>B)</w:t>
      </w:r>
      <w:bookmarkStart w:name="ss_T56C5N4445S1_lv2_5f88863c7" w:id="7"/>
      <w:r w:rsidRPr="00AF2AA0">
        <w:rPr>
          <w:rStyle w:val="scinsert"/>
        </w:rPr>
        <w:t>(</w:t>
      </w:r>
      <w:bookmarkEnd w:id="7"/>
      <w:r w:rsidRPr="00AF2AA0">
        <w:rPr>
          <w:rStyle w:val="scinsert"/>
        </w:rPr>
        <w:t>1)</w:t>
      </w:r>
      <w:r>
        <w:t xml:space="preserve"> </w:t>
      </w:r>
      <w:r w:rsidRPr="00AF2AA0">
        <w:rPr>
          <w:rStyle w:val="scinsert"/>
        </w:rPr>
        <w:t>It shall be unlawful for any person to drive a passenger motor vehicle, including motor vehicles commonly referred to as pickup trucks, on the highways of this State if, by alteration of the suspension, frame, or chassis, the height of the front fender is raised or lowered four or more inches above or below the height of the rear fender. For the purposes of this subsection, the height of the fender shall be a vertical measurement from and perpendicular to the ground, through the centerline of the wheel, and to the bottom of the fender.</w:t>
      </w:r>
    </w:p>
    <w:p w:rsidRPr="00AF2AA0" w:rsidR="00C967E5" w:rsidP="00C967E5" w:rsidRDefault="00C967E5" w14:paraId="1E8E8728" w14:textId="77777777">
      <w:pPr>
        <w:pStyle w:val="sccodifiedsection"/>
      </w:pPr>
      <w:r w:rsidRPr="00561C6D">
        <w:rPr>
          <w:color w:val="000000" w:themeColor="text1"/>
          <w:u w:color="000000" w:themeColor="text1"/>
        </w:rPr>
        <w:tab/>
      </w:r>
      <w:r w:rsidRPr="00561C6D">
        <w:rPr>
          <w:color w:val="000000" w:themeColor="text1"/>
          <w:u w:color="000000" w:themeColor="text1"/>
        </w:rPr>
        <w:tab/>
      </w:r>
      <w:bookmarkStart w:name="ss_T56C5N4445S2_lv2_aad10f3b1" w:id="8"/>
      <w:r w:rsidRPr="00AF2AA0">
        <w:rPr>
          <w:rStyle w:val="scinsert"/>
        </w:rPr>
        <w:t>(</w:t>
      </w:r>
      <w:bookmarkEnd w:id="8"/>
      <w:r w:rsidRPr="00AF2AA0">
        <w:rPr>
          <w:rStyle w:val="scinsert"/>
        </w:rPr>
        <w:t>2)</w:t>
      </w:r>
      <w:r>
        <w:t xml:space="preserve"> </w:t>
      </w:r>
      <w:r w:rsidRPr="00AF2AA0">
        <w:rPr>
          <w:rStyle w:val="scinsert"/>
        </w:rPr>
        <w:t>A person who violates the provisions of this subsection is guilty of a misdemeanor and, upon conviction:</w:t>
      </w:r>
    </w:p>
    <w:p w:rsidRPr="00AF2AA0" w:rsidR="00C967E5" w:rsidP="00C967E5" w:rsidRDefault="00C967E5" w14:paraId="5CE3BA4F" w14:textId="77777777">
      <w:pPr>
        <w:pStyle w:val="sccodifiedsection"/>
      </w:pPr>
      <w:r w:rsidRPr="00561C6D">
        <w:rPr>
          <w:color w:val="000000" w:themeColor="text1"/>
          <w:u w:color="000000" w:themeColor="text1"/>
        </w:rPr>
        <w:tab/>
      </w:r>
      <w:r w:rsidRPr="00561C6D">
        <w:rPr>
          <w:color w:val="000000" w:themeColor="text1"/>
          <w:u w:color="000000" w:themeColor="text1"/>
        </w:rPr>
        <w:tab/>
      </w:r>
      <w:r w:rsidRPr="00561C6D">
        <w:rPr>
          <w:color w:val="000000" w:themeColor="text1"/>
          <w:u w:color="000000" w:themeColor="text1"/>
        </w:rPr>
        <w:tab/>
      </w:r>
      <w:bookmarkStart w:name="ss_T56C5N4445Si_lv3_a3463b88b" w:id="9"/>
      <w:r w:rsidRPr="00AF2AA0">
        <w:rPr>
          <w:rStyle w:val="scinsert"/>
        </w:rPr>
        <w:t>(</w:t>
      </w:r>
      <w:bookmarkEnd w:id="9"/>
      <w:proofErr w:type="spellStart"/>
      <w:r w:rsidRPr="00AF2AA0">
        <w:rPr>
          <w:rStyle w:val="scinsert"/>
        </w:rPr>
        <w:t>i</w:t>
      </w:r>
      <w:proofErr w:type="spellEnd"/>
      <w:r w:rsidRPr="00AF2AA0">
        <w:rPr>
          <w:rStyle w:val="scinsert"/>
        </w:rPr>
        <w:t>)</w:t>
      </w:r>
      <w:r>
        <w:t xml:space="preserve"> </w:t>
      </w:r>
      <w:r w:rsidRPr="00AF2AA0">
        <w:rPr>
          <w:rStyle w:val="scinsert"/>
        </w:rPr>
        <w:t>for a first offense, shall be fined one hundred dollars;</w:t>
      </w:r>
    </w:p>
    <w:p w:rsidRPr="00AF2AA0" w:rsidR="00C967E5" w:rsidP="00C967E5" w:rsidRDefault="00C967E5" w14:paraId="276F4C0E" w14:textId="77777777">
      <w:pPr>
        <w:pStyle w:val="sccodifiedsection"/>
      </w:pPr>
      <w:r w:rsidRPr="00561C6D">
        <w:rPr>
          <w:color w:val="000000" w:themeColor="text1"/>
          <w:u w:color="000000" w:themeColor="text1"/>
        </w:rPr>
        <w:tab/>
      </w:r>
      <w:r w:rsidRPr="00561C6D">
        <w:rPr>
          <w:color w:val="000000" w:themeColor="text1"/>
          <w:u w:color="000000" w:themeColor="text1"/>
        </w:rPr>
        <w:tab/>
      </w:r>
      <w:r w:rsidRPr="00561C6D">
        <w:rPr>
          <w:color w:val="000000" w:themeColor="text1"/>
          <w:u w:color="000000" w:themeColor="text1"/>
        </w:rPr>
        <w:tab/>
      </w:r>
      <w:bookmarkStart w:name="ss_T56C5N4445Sii_lv3_5c0731a10" w:id="10"/>
      <w:r w:rsidRPr="00AF2AA0">
        <w:rPr>
          <w:rStyle w:val="scinsert"/>
        </w:rPr>
        <w:t>(</w:t>
      </w:r>
      <w:bookmarkEnd w:id="10"/>
      <w:r w:rsidRPr="00AF2AA0">
        <w:rPr>
          <w:rStyle w:val="scinsert"/>
        </w:rPr>
        <w:t>ii)</w:t>
      </w:r>
      <w:r>
        <w:t xml:space="preserve"> </w:t>
      </w:r>
      <w:r w:rsidRPr="00AF2AA0">
        <w:rPr>
          <w:rStyle w:val="scinsert"/>
        </w:rPr>
        <w:t>for a second offense, shall be fined two hundred dollars; or</w:t>
      </w:r>
    </w:p>
    <w:p w:rsidRPr="00AF2AA0" w:rsidR="00C967E5" w:rsidP="00C967E5" w:rsidRDefault="00C967E5" w14:paraId="73C58961" w14:textId="77777777">
      <w:pPr>
        <w:pStyle w:val="sccodifiedsection"/>
      </w:pPr>
      <w:r w:rsidRPr="00561C6D">
        <w:rPr>
          <w:color w:val="000000" w:themeColor="text1"/>
          <w:u w:color="000000" w:themeColor="text1"/>
        </w:rPr>
        <w:tab/>
      </w:r>
      <w:r w:rsidRPr="00561C6D">
        <w:rPr>
          <w:color w:val="000000" w:themeColor="text1"/>
          <w:u w:color="000000" w:themeColor="text1"/>
        </w:rPr>
        <w:tab/>
      </w:r>
      <w:r w:rsidRPr="00561C6D">
        <w:rPr>
          <w:color w:val="000000" w:themeColor="text1"/>
          <w:u w:color="000000" w:themeColor="text1"/>
        </w:rPr>
        <w:tab/>
      </w:r>
      <w:bookmarkStart w:name="ss_T56C5N4445Siii_lv3_ce2fcb3d3" w:id="11"/>
      <w:r w:rsidRPr="00AF2AA0">
        <w:rPr>
          <w:rStyle w:val="scinsert"/>
        </w:rPr>
        <w:t>(</w:t>
      </w:r>
      <w:bookmarkEnd w:id="11"/>
      <w:r w:rsidRPr="00AF2AA0">
        <w:rPr>
          <w:rStyle w:val="scinsert"/>
        </w:rPr>
        <w:t>iii)</w:t>
      </w:r>
      <w:r>
        <w:t xml:space="preserve"> </w:t>
      </w:r>
      <w:r w:rsidRPr="00AF2AA0">
        <w:rPr>
          <w:rStyle w:val="scinsert"/>
        </w:rPr>
        <w:t>for a third offense, shall be fined three hundred dollars and have his license suspended by the Department of Motor Vehicles for twelve months from the date of conviction.</w:t>
      </w:r>
    </w:p>
    <w:p w:rsidR="00C967E5" w:rsidP="00C967E5" w:rsidRDefault="00C967E5" w14:paraId="7C343556" w14:textId="77777777">
      <w:pPr>
        <w:pStyle w:val="sccodifiedsection"/>
      </w:pPr>
      <w:r>
        <w:rPr>
          <w:color w:val="000000" w:themeColor="text1"/>
          <w:u w:color="000000" w:themeColor="text1"/>
        </w:rPr>
        <w:tab/>
      </w:r>
      <w:r>
        <w:rPr>
          <w:color w:val="000000" w:themeColor="text1"/>
          <w:u w:color="000000" w:themeColor="text1"/>
        </w:rPr>
        <w:tab/>
      </w:r>
      <w:bookmarkStart w:name="ss_T56C5N4445S3_lv2_315bf9243" w:id="12"/>
      <w:r w:rsidRPr="00214085">
        <w:rPr>
          <w:rStyle w:val="scinsert"/>
        </w:rPr>
        <w:t>(</w:t>
      </w:r>
      <w:bookmarkEnd w:id="12"/>
      <w:r w:rsidRPr="00214085">
        <w:rPr>
          <w:rStyle w:val="scinsert"/>
        </w:rPr>
        <w:t>3)</w:t>
      </w:r>
      <w:r>
        <w:t xml:space="preserve"> </w:t>
      </w:r>
      <w:r w:rsidRPr="00214085">
        <w:rPr>
          <w:rStyle w:val="scinsert"/>
        </w:rPr>
        <w:t>Only offenses which occurred within five years of each other, including and immediately preceding the date of the last offense, shall constitute prior offenses within the meaning of this section.</w:t>
      </w:r>
    </w:p>
    <w:p w:rsidR="00C967E5" w:rsidP="00C967E5" w:rsidRDefault="00C967E5" w14:paraId="79EF220B" w14:textId="77777777">
      <w:pPr>
        <w:pStyle w:val="scemptyline"/>
      </w:pPr>
    </w:p>
    <w:p w:rsidR="00C967E5" w:rsidP="00C967E5" w:rsidRDefault="00C967E5" w14:paraId="65F9FF4C" w14:textId="4BFB21EA">
      <w:pPr>
        <w:pStyle w:val="scnoncodifiedsection"/>
      </w:pPr>
      <w:bookmarkStart w:name="bs_num_2_a05cb79f1" w:id="13"/>
      <w:r>
        <w:rPr>
          <w:color w:val="000000" w:themeColor="text1"/>
          <w:u w:color="000000" w:themeColor="text1"/>
        </w:rPr>
        <w:t>S</w:t>
      </w:r>
      <w:bookmarkEnd w:id="13"/>
      <w:r>
        <w:t xml:space="preserve">ECTION </w:t>
      </w:r>
      <w:r>
        <w:rPr>
          <w:color w:val="000000" w:themeColor="text1"/>
          <w:u w:color="000000" w:themeColor="text1"/>
        </w:rPr>
        <w:t>2.</w:t>
      </w:r>
      <w:r>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967E5" w:rsidP="00C967E5" w:rsidRDefault="00C967E5" w14:paraId="42C3F7D4" w14:textId="77777777">
      <w:pPr>
        <w:pStyle w:val="scemptyline"/>
      </w:pPr>
    </w:p>
    <w:p w:rsidR="00C967E5" w:rsidP="00C967E5" w:rsidRDefault="00C967E5" w14:paraId="73074519" w14:textId="77777777">
      <w:pPr>
        <w:pStyle w:val="scnoncodifiedsection"/>
      </w:pPr>
      <w:bookmarkStart w:name="eff_date_section" w:id="14"/>
      <w:bookmarkStart w:name="bs_num_3_lastsection" w:id="15"/>
      <w:bookmarkEnd w:id="14"/>
      <w:r>
        <w:t>S</w:t>
      </w:r>
      <w:bookmarkEnd w:id="15"/>
      <w:r>
        <w:t>ECTION 3.</w:t>
      </w:r>
      <w:r>
        <w:tab/>
        <w:t>This act takes effect upon approval by the Governor.</w:t>
      </w:r>
    </w:p>
    <w:p w:rsidRPr="00DF3B44" w:rsidR="005516F6" w:rsidP="009E4191" w:rsidRDefault="00C967E5" w14:paraId="7389F665" w14:textId="09ED4DC4">
      <w:pPr>
        <w:pStyle w:val="scbillendxx"/>
      </w:pPr>
      <w:r>
        <w:noBreakHyphen/>
      </w:r>
      <w:r>
        <w:noBreakHyphen/>
      </w:r>
      <w:r>
        <w:noBreakHyphen/>
      </w:r>
      <w:r>
        <w:noBreakHyphen/>
        <w:t>XX</w:t>
      </w:r>
      <w:r>
        <w:noBreakHyphen/>
      </w:r>
      <w:r>
        <w:noBreakHyphen/>
      </w:r>
      <w:r>
        <w:noBreakHyphen/>
      </w:r>
      <w:r>
        <w:noBreakHyphen/>
      </w:r>
    </w:p>
    <w:sectPr w:rsidRPr="00DF3B44" w:rsidR="005516F6" w:rsidSect="00484F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0B2530" w:rsidR="00685035" w:rsidRPr="007B4AF7" w:rsidRDefault="00484F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7E5">
              <w:rPr>
                <w:noProof/>
              </w:rPr>
              <w:t>LC-0133CM23.docx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4BF9"/>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424"/>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F37"/>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CF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361"/>
    <w:rsid w:val="00782BF8"/>
    <w:rsid w:val="00783C75"/>
    <w:rsid w:val="007849D9"/>
    <w:rsid w:val="00787433"/>
    <w:rsid w:val="007A10F1"/>
    <w:rsid w:val="007A3D50"/>
    <w:rsid w:val="007B2D29"/>
    <w:rsid w:val="007B412F"/>
    <w:rsid w:val="007B4AF7"/>
    <w:rsid w:val="007B4DBF"/>
    <w:rsid w:val="007C5458"/>
    <w:rsid w:val="007D2C67"/>
    <w:rsid w:val="007D4FA5"/>
    <w:rsid w:val="007E06BB"/>
    <w:rsid w:val="007F069E"/>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DDE"/>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7E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B4B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37&amp;session=125&amp;summary=B" TargetMode="External" Id="R4fa9bea909ae4a73" /><Relationship Type="http://schemas.openxmlformats.org/officeDocument/2006/relationships/hyperlink" Target="https://www.scstatehouse.gov/sess125_2023-2024/prever/3137_20221208.docx" TargetMode="External" Id="R9203662a0e63475f" /><Relationship Type="http://schemas.openxmlformats.org/officeDocument/2006/relationships/hyperlink" Target="h:\hj\20230110.docx" TargetMode="External" Id="Rcbc95e9612b04753" /><Relationship Type="http://schemas.openxmlformats.org/officeDocument/2006/relationships/hyperlink" Target="h:\hj\20230110.docx" TargetMode="External" Id="R362945470d2348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bf6684ca-ff4c-40b9-80e8-336b59d930c1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7ded4cc9-1d23-46c1-8889-b0357a1ae507</T_BILL_REQUEST_REQUEST>
  <T_BILL_R_ORIGINALDRAFT>b7525fb4-e45e-4765-b99f-c964fc8dd2e8</T_BILL_R_ORIGINALDRAFT>
  <T_BILL_SPONSOR_SPONSOR>c62f9194-5c6a-4030-8a65-7dc296724d72</T_BILL_SPONSOR_SPONSOR>
  <T_BILL_T_ACTNUMBER>None</T_BILL_T_ACTNUMBER>
  <T_BILL_T_BILLNAME>[3137]</T_BILL_T_BILLNAME>
  <T_BILL_T_BILLNUMBER>3137</T_BILL_T_BILLNUMBER>
  <T_BILL_T_BILLTITLE>TO AMEND the south carolina code of laws by amending SECTION 56-5-4445, RELATING TO THE RESTRICTIONs On ELEVATING OR LOWERING A MOTOR VEHICLE, SO AS TO PROHIBIT MOTOR VEHICLE MODIFICATIONS THAT RESULT IN certain MOTOR VEHICLES’ FRONT FENDERs BEING RAISED FOUR OR MORE INCHES ABOVE THE HEIGHT OF THEir REAR FENDERs AND TO PROVIDE PENALTIES.</T_BILL_T_BILLTITLE>
  <T_BILL_T_CHAMBER>house</T_BILL_T_CHAMBER>
  <T_BILL_T_FILENAME> </T_BILL_T_FILENAME>
  <T_BILL_T_LEGTYPE>bill_statewide</T_BILL_T_LEGTYPE>
  <T_BILL_T_RATNUMBER>None</T_BILL_T_RATNUMBER>
  <T_BILL_T_SECTIONS>[{"SectionUUID":"ea424b60-ffb9-4df7-a535-7edca479ad09","SectionName":"code_section","SectionNumber":1,"SectionType":"code_section","CodeSections":[{"CodeSectionBookmarkName":"cs_T56C5N4445_5438e3350","IsConstitutionSection":false,"Identity":"56-5-4445","IsNew":false,"SubSections":[{"Level":1,"Identity":"T56C5N4445SA","SubSectionBookmarkName":"ss_T56C5N4445SA_lv1_5dba295a9","IsNewSubSection":false},{"Level":1,"Identity":"T56C5N4445SB","SubSectionBookmarkName":"ss_T56C5N4445SB_lv1_123e5035b","IsNewSubSection":false},{"Level":2,"Identity":"T56C5N4445S1","SubSectionBookmarkName":"ss_T56C5N4445S1_lv2_5f88863c7","IsNewSubSection":false},{"Level":2,"Identity":"T56C5N4445S2","SubSectionBookmarkName":"ss_T56C5N4445S2_lv2_aad10f3b1","IsNewSubSection":false},{"Level":3,"Identity":"T56C5N4445Si","SubSectionBookmarkName":"ss_T56C5N4445Si_lv3_a3463b88b","IsNewSubSection":false},{"Level":3,"Identity":"T56C5N4445Sii","SubSectionBookmarkName":"ss_T56C5N4445Sii_lv3_5c0731a10","IsNewSubSection":false},{"Level":3,"Identity":"T56C5N4445Siii","SubSectionBookmarkName":"ss_T56C5N4445Siii_lv3_ce2fcb3d3","IsNewSubSection":false},{"Level":2,"Identity":"T56C5N4445S3","SubSectionBookmarkName":"ss_T56C5N4445S3_lv2_315bf9243","IsNewSubSection":false}],"TitleRelatedTo":"Unlawful to elevate or lower motor vehicle;  exception for “pickup trucks”.","TitleSoAsTo":"","Deleted":false}],"TitleText":"","DisableControls":false,"Deleted":false,"SectionBookmarkName":"bs_num_1_10f854c9b"},{"SectionUUID":"40661790-d559-4651-8d77-90f49066c424","SectionName":"code_section","SectionNumber":2,"SectionType":"code_section","CodeSections":[],"TitleText":"","DisableControls":false,"Deleted":false,"SectionBookmarkName":"bs_num_2_a05cb79f1"},{"SectionUUID":"f4c44c20-2715-4ba7-a938-d0933e2f66d1","SectionName":"standard_eff_date_section","SectionNumber":3,"SectionType":"drafting_clause","CodeSections":[],"TitleText":"","DisableControls":false,"Deleted":false,"SectionBookmarkName":"bs_num_3_lastsection"}]</T_BILL_T_SECTIONS>
  <T_BILL_T_SECTIONSHISTORY>[{"Id":1,"SectionsList":[{"SectionUUID":"ea424b60-ffb9-4df7-a535-7edca479ad09","SectionName":"code_section","SectionNumber":1,"SectionType":"code_section","CodeSections":[{"CodeSectionBookmarkName":"cs_T56C5N4445_5438e3350","IsConstitutionSection":false,"Identity":"56-5-4445","IsNew":false,"SubSections":[],"TitleRelatedTo":"Unlawful to elevate or lower motor vehicle;  exception for “pickup trucks”.","TitleSoAsTo":"","Deleted":false}],"TitleText":"","DisableControls":false,"Deleted":false,"SectionBookmarkName":"bs_num_1_10f854c9b"},{"SectionUUID":"40661790-d559-4651-8d77-90f49066c424","SectionName":"code_section","SectionNumber":2,"SectionType":"code_section","CodeSections":[],"TitleText":"","DisableControls":false,"Deleted":false,"SectionBookmarkName":"bs_num_2_a05cb79f1"},{"SectionUUID":"f4c44c20-2715-4ba7-a938-d0933e2f66d1","SectionName":"standard_eff_date_section","SectionNumber":3,"SectionType":"drafting_clause","CodeSections":[],"TitleText":"","DisableControls":false,"Deleted":false,"SectionBookmarkName":"bs_num_3_lastsection"}],"Timestamp":"2022-11-30T12:25:21.1117623-05:00","Username":null},{"Id":2,"SectionsList":[{"SectionUUID":"ea424b60-ffb9-4df7-a535-7edca479ad09","SectionName":"code_section","SectionNumber":1,"SectionType":"code_section","CodeSections":[{"CodeSectionBookmarkName":"cs_T56C5N4445_5438e3350","IsConstitutionSection":false,"Identity":"56-5-4445","IsNew":false,"SubSections":[{"Level":1,"Identity":"T56C5N4445SA","SubSectionBookmarkName":"ss_T56C5N4445SA_lv1_5dba295a9","IsNewSubSection":false},{"Level":1,"Identity":"T56C5N4445SB","SubSectionBookmarkName":"ss_T56C5N4445SB_lv1_123e5035b","IsNewSubSection":false},{"Level":2,"Identity":"T56C5N4445S1","SubSectionBookmarkName":"ss_T56C5N4445S1_lv2_5f88863c7","IsNewSubSection":false},{"Level":2,"Identity":"T56C5N4445S2","SubSectionBookmarkName":"ss_T56C5N4445S2_lv2_aad10f3b1","IsNewSubSection":false},{"Level":3,"Identity":"T56C5N4445Si","SubSectionBookmarkName":"ss_T56C5N4445Si_lv3_a3463b88b","IsNewSubSection":false},{"Level":3,"Identity":"T56C5N4445Sii","SubSectionBookmarkName":"ss_T56C5N4445Sii_lv3_5c0731a10","IsNewSubSection":false},{"Level":3,"Identity":"T56C5N4445Siii","SubSectionBookmarkName":"ss_T56C5N4445Siii_lv3_ce2fcb3d3","IsNewSubSection":false},{"Level":2,"Identity":"T56C5N4445S3","SubSectionBookmarkName":"ss_T56C5N4445S3_lv2_315bf9243","IsNewSubSection":false}],"TitleRelatedTo":"Unlawful to elevate or lower motor vehicle;  exception for “pickup trucks”.","TitleSoAsTo":"","Deleted":false}],"TitleText":"","DisableControls":false,"Deleted":false,"SectionBookmarkName":"bs_num_1_10f854c9b"},{"SectionUUID":"40661790-d559-4651-8d77-90f49066c424","SectionName":"code_section","SectionNumber":2,"SectionType":"code_section","CodeSections":[],"TitleText":"","DisableControls":false,"Deleted":false,"SectionBookmarkName":"bs_num_2_a05cb79f1"},{"SectionUUID":"f4c44c20-2715-4ba7-a938-d0933e2f66d1","SectionName":"standard_eff_date_section","SectionNumber":3,"SectionType":"drafting_clause","CodeSections":[],"TitleText":"","DisableControls":false,"Deleted":false,"SectionBookmarkName":"bs_num_3_lastsection"}],"Timestamp":"2022-11-30T16:24:37.7639458-05:00","Username":"gwenthurmond@scstatehouse.gov"}]</T_BILL_T_SECTIONSHISTORY>
  <T_BILL_T_SUBJECT>Limitations on altering a vehicle's height</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501</Words>
  <Characters>2562</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21</cp:revision>
  <cp:lastPrinted>2022-11-30T21:24:00Z</cp:lastPrinted>
  <dcterms:created xsi:type="dcterms:W3CDTF">2022-06-03T11:45:00Z</dcterms:created>
  <dcterms:modified xsi:type="dcterms:W3CDTF">2022-11-30T21:24:00Z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