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Henegan, Williams and Thigpen</w:t>
      </w:r>
    </w:p>
    <w:p>
      <w:pPr>
        <w:widowControl w:val="false"/>
        <w:spacing w:after="0"/>
        <w:jc w:val="left"/>
      </w:pPr>
      <w:r>
        <w:rPr>
          <w:rFonts w:ascii="Times New Roman"/>
          <w:sz w:val="22"/>
        </w:rPr>
        <w:t xml:space="preserve">Companion/Similar bill(s): 3343</w:t>
      </w:r>
    </w:p>
    <w:p>
      <w:pPr>
        <w:widowControl w:val="false"/>
        <w:spacing w:after="0"/>
        <w:jc w:val="left"/>
      </w:pPr>
      <w:r>
        <w:rPr>
          <w:rFonts w:ascii="Times New Roman"/>
          <w:sz w:val="22"/>
        </w:rPr>
        <w:t xml:space="preserve">Document Path: LC-0159CM23.docx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Early release of an inmate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3aefa999cbb4e2b">
        <w:r w:rsidRPr="00770434">
          <w:rPr>
            <w:rStyle w:val="Hyperlink"/>
          </w:rPr>
          <w:t>House Journal</w:t>
        </w:r>
        <w:r w:rsidRPr="00770434">
          <w:rPr>
            <w:rStyle w:val="Hyperlink"/>
          </w:rPr>
          <w:noBreakHyphen/>
          <w:t>page 197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433beb9a460c4aca">
        <w:r w:rsidRPr="00770434">
          <w:rPr>
            <w:rStyle w:val="Hyperlink"/>
          </w:rPr>
          <w:t>House Journal</w:t>
        </w:r>
        <w:r w:rsidRPr="00770434">
          <w:rPr>
            <w:rStyle w:val="Hyperlink"/>
          </w:rPr>
          <w:noBreakHyphen/>
          <w:t>page 197</w:t>
        </w:r>
      </w:hyperlink>
      <w:r>
        <w:t>)</w:t>
      </w:r>
    </w:p>
    <w:p>
      <w:pPr>
        <w:widowControl w:val="false"/>
        <w:tabs>
          <w:tab w:val="right" w:pos="1008"/>
          <w:tab w:val="left" w:pos="1152"/>
          <w:tab w:val="left" w:pos="1872"/>
          <w:tab w:val="left" w:pos="9187"/>
        </w:tabs>
        <w:spacing w:after="0"/>
        <w:ind w:left="2088" w:hanging="2088"/>
      </w:pPr>
      <w:r>
        <w:tab/>
        <w:t>1/31/2023</w:t>
      </w:r>
      <w:r>
        <w:tab/>
        <w:t>House</w:t>
      </w:r>
      <w:r>
        <w:tab/>
        <w:t>Member(s) request name added as sponsor:
 Williams, Thigpen
 </w:t>
      </w:r>
    </w:p>
    <w:p>
      <w:pPr>
        <w:widowControl w:val="false"/>
        <w:spacing w:after="0"/>
        <w:jc w:val="left"/>
      </w:pPr>
    </w:p>
    <w:p>
      <w:pPr>
        <w:widowControl w:val="false"/>
        <w:spacing w:after="0"/>
        <w:jc w:val="left"/>
      </w:pPr>
      <w:r>
        <w:rPr>
          <w:rFonts w:ascii="Times New Roman"/>
          <w:sz w:val="22"/>
        </w:rPr>
        <w:t xml:space="preserve">View the latest </w:t>
      </w:r>
      <w:hyperlink r:id="R36ba6fcd01f7431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364839397fb4146">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25FB7" w14:paraId="40FEFADA" w14:textId="6EB63D79">
          <w:pPr>
            <w:pStyle w:val="scbilltitle"/>
            <w:tabs>
              <w:tab w:val="left" w:pos="2104"/>
            </w:tabs>
          </w:pPr>
          <w:r>
            <w:t xml:space="preserve">TO AMEND the SOUTH CAROLINA code of laws BY AMENDING SECTION 24-13-150, RELATING TO THE EARLY RELEASE OF INMATEs, SO AS TO REDUCE THE PERCENTAGE OF TIME INMATEs WHO HAve COMMITTED “NO PAROLE OFFENSEs” MUST SERVE BEFORE tHEy MAY BECOME ELIGIBLE FOR EARLY RELEASE, DISCHARGE, OR COMMUNITY SUPERVISION FROM EIGHTY-FIVE PERCENT TO SIXTY-FIVE PERCENT FOR CERTAIN DRUG OFFENSES, AND TO PROVIDE THIS REDUCTION APPLIES TO INMATES CURRENTLY INCARCERATED UNDER CERTAIN CIRCUMSTANCES. </w:t>
          </w:r>
        </w:p>
      </w:sdtContent>
    </w:sdt>
    <w:bookmarkStart w:name="at_b3b489c95" w:displacedByCustomXml="prev" w:id="0"/>
    <w:bookmarkEnd w:id="0"/>
    <w:p w:rsidRPr="00DF3B44" w:rsidR="006C18F0" w:rsidP="006C18F0" w:rsidRDefault="006C18F0" w14:paraId="5BAAC1B7" w14:textId="77777777">
      <w:pPr>
        <w:pStyle w:val="scbillwhereasclause"/>
      </w:pPr>
    </w:p>
    <w:p w:rsidR="00FB17C8" w:rsidP="00FB17C8" w:rsidRDefault="00FB17C8" w14:paraId="0F8D58BA" w14:textId="77777777">
      <w:pPr>
        <w:pStyle w:val="scenactingwords"/>
      </w:pPr>
      <w:bookmarkStart w:name="ew_02d4614b6" w:id="1"/>
      <w:r>
        <w:t>B</w:t>
      </w:r>
      <w:bookmarkEnd w:id="1"/>
      <w:r>
        <w:t>e it enacted by the General Assembly of the State of South Carolina:</w:t>
      </w:r>
    </w:p>
    <w:p w:rsidR="00FB17C8" w:rsidP="00FB17C8" w:rsidRDefault="00FB17C8" w14:paraId="3C91801B" w14:textId="77777777">
      <w:pPr>
        <w:pStyle w:val="scemptyline"/>
      </w:pPr>
    </w:p>
    <w:p w:rsidRPr="00761D86" w:rsidR="00FB17C8" w:rsidP="00FB17C8" w:rsidRDefault="00FB17C8" w14:paraId="34EC6FEA" w14:textId="1513AF53">
      <w:pPr>
        <w:pStyle w:val="scdirectionallanguage"/>
      </w:pPr>
      <w:bookmarkStart w:name="bs_num_1_b3a7726c0" w:id="2"/>
      <w:r>
        <w:rPr>
          <w:color w:val="000000" w:themeColor="text1"/>
          <w:u w:color="000000" w:themeColor="text1"/>
        </w:rPr>
        <w:t>S</w:t>
      </w:r>
      <w:bookmarkEnd w:id="2"/>
      <w:r w:rsidRPr="00761D86">
        <w:rPr>
          <w:color w:val="000000" w:themeColor="text1"/>
          <w:u w:color="000000" w:themeColor="text1"/>
        </w:rPr>
        <w:t>ECTION 1.</w:t>
      </w:r>
      <w:r>
        <w:tab/>
      </w:r>
      <w:bookmarkStart w:name="dl_08a9d954a" w:id="3"/>
      <w:r w:rsidRPr="00761D86">
        <w:rPr>
          <w:color w:val="000000" w:themeColor="text1"/>
          <w:u w:color="000000" w:themeColor="text1"/>
        </w:rPr>
        <w:t>S</w:t>
      </w:r>
      <w:bookmarkEnd w:id="3"/>
      <w:r>
        <w:t>ection 24</w:t>
      </w:r>
      <w:r>
        <w:rPr>
          <w:color w:val="000000" w:themeColor="text1"/>
          <w:u w:color="000000" w:themeColor="text1"/>
        </w:rPr>
        <w:noBreakHyphen/>
      </w:r>
      <w:r w:rsidRPr="00761D86">
        <w:rPr>
          <w:color w:val="000000" w:themeColor="text1"/>
          <w:u w:color="000000" w:themeColor="text1"/>
        </w:rPr>
        <w:t>13</w:t>
      </w:r>
      <w:r>
        <w:rPr>
          <w:color w:val="000000" w:themeColor="text1"/>
          <w:u w:color="000000" w:themeColor="text1"/>
        </w:rPr>
        <w:noBreakHyphen/>
      </w:r>
      <w:r w:rsidRPr="00761D86">
        <w:rPr>
          <w:color w:val="000000" w:themeColor="text1"/>
          <w:u w:color="000000" w:themeColor="text1"/>
        </w:rPr>
        <w:t xml:space="preserve">150 of the </w:t>
      </w:r>
      <w:r w:rsidR="00365810">
        <w:rPr>
          <w:color w:val="000000" w:themeColor="text1"/>
          <w:u w:color="000000" w:themeColor="text1"/>
        </w:rPr>
        <w:t xml:space="preserve">S.C. </w:t>
      </w:r>
      <w:r w:rsidRPr="00761D86">
        <w:rPr>
          <w:color w:val="000000" w:themeColor="text1"/>
          <w:u w:color="000000" w:themeColor="text1"/>
        </w:rPr>
        <w:t>Code is amended to read:</w:t>
      </w:r>
    </w:p>
    <w:p w:rsidRPr="00761D86" w:rsidR="00FB17C8" w:rsidP="00FB17C8" w:rsidRDefault="00FB17C8" w14:paraId="6D8E3142" w14:textId="77777777">
      <w:pPr>
        <w:pStyle w:val="scemptyline"/>
      </w:pPr>
    </w:p>
    <w:p w:rsidRPr="00761D86" w:rsidR="00FB17C8" w:rsidP="00FB17C8" w:rsidRDefault="00FB17C8" w14:paraId="0304953C" w14:textId="24C6118F">
      <w:pPr>
        <w:pStyle w:val="sccodifiedsection"/>
      </w:pPr>
      <w:bookmarkStart w:name="cs_T24C13N150_35fe18c99" w:id="4"/>
      <w:r>
        <w:tab/>
      </w:r>
      <w:bookmarkEnd w:id="4"/>
      <w:r w:rsidRPr="00761D86">
        <w:rPr>
          <w:color w:val="000000" w:themeColor="text1"/>
          <w:u w:color="000000" w:themeColor="text1"/>
        </w:rPr>
        <w:t>Section 24</w:t>
      </w:r>
      <w:r>
        <w:rPr>
          <w:color w:val="000000" w:themeColor="text1"/>
          <w:u w:color="000000" w:themeColor="text1"/>
        </w:rPr>
        <w:noBreakHyphen/>
      </w:r>
      <w:r w:rsidRPr="00761D86">
        <w:rPr>
          <w:color w:val="000000" w:themeColor="text1"/>
          <w:u w:color="000000" w:themeColor="text1"/>
        </w:rPr>
        <w:t>13</w:t>
      </w:r>
      <w:r>
        <w:rPr>
          <w:color w:val="000000" w:themeColor="text1"/>
          <w:u w:color="000000" w:themeColor="text1"/>
        </w:rPr>
        <w:noBreakHyphen/>
      </w:r>
      <w:r w:rsidRPr="00761D86">
        <w:rPr>
          <w:color w:val="000000" w:themeColor="text1"/>
          <w:u w:color="000000" w:themeColor="text1"/>
        </w:rPr>
        <w:t>150.</w:t>
      </w:r>
      <w:r w:rsidRPr="00761D86">
        <w:rPr>
          <w:color w:val="000000" w:themeColor="text1"/>
          <w:u w:color="000000" w:themeColor="text1"/>
        </w:rPr>
        <w:tab/>
        <w:t>(A)</w:t>
      </w:r>
      <w:r w:rsidRPr="00761D86">
        <w:t xml:space="preserve"> </w:t>
      </w:r>
      <w:r w:rsidRPr="00761D86">
        <w:rPr>
          <w:color w:val="000000" w:themeColor="text1"/>
          <w:u w:color="000000" w:themeColor="text1"/>
        </w:rPr>
        <w:t xml:space="preserve">Notwithstanding any other provision of law, except in a case in which the death penalty or a term of life imprisonment is imposed </w:t>
      </w:r>
      <w:r w:rsidRPr="00761D86">
        <w:rPr>
          <w:rStyle w:val="scinsert"/>
        </w:rPr>
        <w:t>or subject to the provisions contained in subsection (B)</w:t>
      </w:r>
      <w:r w:rsidRPr="00761D86">
        <w:rPr>
          <w:color w:val="000000" w:themeColor="text1"/>
          <w:u w:color="000000" w:themeColor="text1"/>
        </w:rPr>
        <w:t xml:space="preserve">, an inmate convicted of a </w:t>
      </w:r>
      <w:r w:rsidR="00F25FB7">
        <w:rPr>
          <w:color w:val="000000" w:themeColor="text1"/>
          <w:u w:color="000000" w:themeColor="text1"/>
        </w:rPr>
        <w:t>“</w:t>
      </w:r>
      <w:r w:rsidRPr="00761D86">
        <w:rPr>
          <w:color w:val="000000" w:themeColor="text1"/>
          <w:u w:color="000000" w:themeColor="text1"/>
        </w:rPr>
        <w:t>no parole offense</w:t>
      </w:r>
      <w:r w:rsidR="00F25FB7">
        <w:rPr>
          <w:color w:val="000000" w:themeColor="text1"/>
          <w:u w:color="000000" w:themeColor="text1"/>
        </w:rPr>
        <w:t>”</w:t>
      </w:r>
      <w:r w:rsidRPr="00761D86">
        <w:rPr>
          <w:color w:val="000000" w:themeColor="text1"/>
          <w:u w:color="000000" w:themeColor="text1"/>
        </w:rPr>
        <w:t xml:space="preserve"> as defined in Section 24</w:t>
      </w:r>
      <w:r>
        <w:rPr>
          <w:color w:val="000000" w:themeColor="text1"/>
          <w:u w:color="000000" w:themeColor="text1"/>
        </w:rPr>
        <w:noBreakHyphen/>
      </w:r>
      <w:r w:rsidRPr="00761D86">
        <w:rPr>
          <w:color w:val="000000" w:themeColor="text1"/>
          <w:u w:color="000000" w:themeColor="text1"/>
        </w:rPr>
        <w:t>13</w:t>
      </w:r>
      <w:r>
        <w:rPr>
          <w:color w:val="000000" w:themeColor="text1"/>
          <w:u w:color="000000" w:themeColor="text1"/>
        </w:rPr>
        <w:noBreakHyphen/>
      </w:r>
      <w:r w:rsidRPr="00761D86">
        <w:rPr>
          <w:color w:val="000000" w:themeColor="text1"/>
          <w:u w:color="000000" w:themeColor="text1"/>
        </w:rPr>
        <w:t>100 and sentenced to the custody of the Department of Corrections, including an inmate serving time in a local facility pursuant to a designated facility agreement authorized by Section 24</w:t>
      </w:r>
      <w:r>
        <w:rPr>
          <w:color w:val="000000" w:themeColor="text1"/>
          <w:u w:color="000000" w:themeColor="text1"/>
        </w:rPr>
        <w:noBreakHyphen/>
      </w:r>
      <w:r w:rsidRPr="00761D86">
        <w:rPr>
          <w:color w:val="000000" w:themeColor="text1"/>
          <w:u w:color="000000" w:themeColor="text1"/>
        </w:rPr>
        <w:t>3</w:t>
      </w:r>
      <w:r>
        <w:rPr>
          <w:color w:val="000000" w:themeColor="text1"/>
          <w:u w:color="000000" w:themeColor="text1"/>
        </w:rPr>
        <w:noBreakHyphen/>
      </w:r>
      <w:r w:rsidRPr="00761D86">
        <w:rPr>
          <w:color w:val="000000" w:themeColor="text1"/>
          <w:u w:color="000000" w:themeColor="text1"/>
        </w:rPr>
        <w:t>20 or Section 24</w:t>
      </w:r>
      <w:r>
        <w:rPr>
          <w:color w:val="000000" w:themeColor="text1"/>
          <w:u w:color="000000" w:themeColor="text1"/>
        </w:rPr>
        <w:noBreakHyphen/>
      </w:r>
      <w:r w:rsidRPr="00761D86">
        <w:rPr>
          <w:color w:val="000000" w:themeColor="text1"/>
          <w:u w:color="000000" w:themeColor="text1"/>
        </w:rPr>
        <w:t>3</w:t>
      </w:r>
      <w:r>
        <w:rPr>
          <w:color w:val="000000" w:themeColor="text1"/>
          <w:u w:color="000000" w:themeColor="text1"/>
        </w:rPr>
        <w:noBreakHyphen/>
      </w:r>
      <w:r w:rsidRPr="00761D86">
        <w:rPr>
          <w:color w:val="000000" w:themeColor="text1"/>
          <w:u w:color="000000" w:themeColor="text1"/>
        </w:rPr>
        <w:t>30, is not eligible for early release, discharge, or community supervision as provided in Section 24</w:t>
      </w:r>
      <w:r>
        <w:rPr>
          <w:color w:val="000000" w:themeColor="text1"/>
          <w:u w:color="000000" w:themeColor="text1"/>
        </w:rPr>
        <w:noBreakHyphen/>
      </w:r>
      <w:r w:rsidRPr="00761D86">
        <w:rPr>
          <w:color w:val="000000" w:themeColor="text1"/>
          <w:u w:color="000000" w:themeColor="text1"/>
        </w:rPr>
        <w:t>21</w:t>
      </w:r>
      <w:r>
        <w:rPr>
          <w:color w:val="000000" w:themeColor="text1"/>
          <w:u w:color="000000" w:themeColor="text1"/>
        </w:rPr>
        <w:noBreakHyphen/>
      </w:r>
      <w:r w:rsidRPr="00761D86">
        <w:rPr>
          <w:color w:val="000000" w:themeColor="text1"/>
          <w:u w:color="000000" w:themeColor="text1"/>
        </w:rPr>
        <w:t>560, until the inmate has served at least eighty</w:t>
      </w:r>
      <w:r>
        <w:rPr>
          <w:color w:val="000000" w:themeColor="text1"/>
          <w:u w:color="000000" w:themeColor="text1"/>
        </w:rPr>
        <w:noBreakHyphen/>
      </w:r>
      <w:r w:rsidRPr="00761D86">
        <w:rPr>
          <w:color w:val="000000" w:themeColor="text1"/>
          <w:u w:color="000000" w:themeColor="text1"/>
        </w:rPr>
        <w:t>five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Nothing in this section may be construed to allow an inmate convicted of murder or an inmate prohibited from participating in work release, early release, discharge, or community supervision by another provision of law to be eligible for work release, early release, discharge, or community supervision.</w:t>
      </w:r>
    </w:p>
    <w:p w:rsidRPr="00761D86" w:rsidR="00FB17C8" w:rsidP="00FB17C8" w:rsidRDefault="00FB17C8" w14:paraId="61DDD3C5" w14:textId="23B05A68">
      <w:pPr>
        <w:pStyle w:val="sccodifiedsection"/>
      </w:pPr>
      <w:r w:rsidRPr="00761D86">
        <w:rPr>
          <w:color w:val="000000" w:themeColor="text1"/>
          <w:u w:color="000000" w:themeColor="text1"/>
        </w:rPr>
        <w:tab/>
      </w:r>
      <w:bookmarkStart w:name="ss_T24C13N150SB_lv1_2e1af410d" w:id="5"/>
      <w:r w:rsidRPr="00761D86">
        <w:rPr>
          <w:color w:val="000000" w:themeColor="text1"/>
          <w:u w:color="000000" w:themeColor="text1"/>
        </w:rPr>
        <w:t>(</w:t>
      </w:r>
      <w:bookmarkEnd w:id="5"/>
      <w:r w:rsidRPr="00761D86">
        <w:rPr>
          <w:color w:val="000000" w:themeColor="text1"/>
          <w:u w:color="000000" w:themeColor="text1"/>
        </w:rPr>
        <w:t>B)</w:t>
      </w:r>
      <w:r>
        <w:t xml:space="preserve"> </w:t>
      </w:r>
      <w:r w:rsidRPr="00761D86">
        <w:rPr>
          <w:rStyle w:val="scinsert"/>
        </w:rPr>
        <w:t xml:space="preserve">An inmate incarcerated for a </w:t>
      </w:r>
      <w:r w:rsidR="004D239D">
        <w:rPr>
          <w:rStyle w:val="scinsert"/>
        </w:rPr>
        <w:t>“</w:t>
      </w:r>
      <w:r w:rsidRPr="00761D86">
        <w:rPr>
          <w:rStyle w:val="scinsert"/>
        </w:rPr>
        <w:t>no parole offense</w:t>
      </w:r>
      <w:r w:rsidR="004D239D">
        <w:rPr>
          <w:rStyle w:val="scinsert"/>
        </w:rPr>
        <w:t>”</w:t>
      </w:r>
      <w:r w:rsidRPr="00761D86">
        <w:rPr>
          <w:rStyle w:val="scinsert"/>
        </w:rPr>
        <w:t xml:space="preserve"> as defined in Section 24</w:t>
      </w:r>
      <w:r>
        <w:rPr>
          <w:rStyle w:val="scinsert"/>
        </w:rPr>
        <w:noBreakHyphen/>
      </w:r>
      <w:r w:rsidRPr="00761D86">
        <w:rPr>
          <w:rStyle w:val="scinsert"/>
        </w:rPr>
        <w:t>13</w:t>
      </w:r>
      <w:r>
        <w:rPr>
          <w:rStyle w:val="scinsert"/>
        </w:rPr>
        <w:noBreakHyphen/>
      </w:r>
      <w:r w:rsidRPr="00761D86">
        <w:rPr>
          <w:rStyle w:val="scinsert"/>
        </w:rPr>
        <w:t>100 and sentenced to the custody of the Department of Corrections, including an inmate serving time in a local facility pursuant to a designated facility agreement authorized by Section 24</w:t>
      </w:r>
      <w:r>
        <w:rPr>
          <w:rStyle w:val="scinsert"/>
        </w:rPr>
        <w:noBreakHyphen/>
      </w:r>
      <w:r w:rsidRPr="00761D86">
        <w:rPr>
          <w:rStyle w:val="scinsert"/>
        </w:rPr>
        <w:t>3</w:t>
      </w:r>
      <w:r>
        <w:rPr>
          <w:rStyle w:val="scinsert"/>
        </w:rPr>
        <w:noBreakHyphen/>
      </w:r>
      <w:r w:rsidRPr="00761D86">
        <w:rPr>
          <w:rStyle w:val="scinsert"/>
        </w:rPr>
        <w:t>20 or Section 24</w:t>
      </w:r>
      <w:r>
        <w:rPr>
          <w:rStyle w:val="scinsert"/>
        </w:rPr>
        <w:noBreakHyphen/>
      </w:r>
      <w:r w:rsidRPr="00761D86">
        <w:rPr>
          <w:rStyle w:val="scinsert"/>
        </w:rPr>
        <w:t>3</w:t>
      </w:r>
      <w:r>
        <w:rPr>
          <w:rStyle w:val="scinsert"/>
        </w:rPr>
        <w:noBreakHyphen/>
      </w:r>
      <w:r w:rsidRPr="00761D86">
        <w:rPr>
          <w:rStyle w:val="scinsert"/>
        </w:rPr>
        <w:t>30, is not eligible for early release, discharge, or community supervision as provided in Section 24</w:t>
      </w:r>
      <w:r>
        <w:rPr>
          <w:rStyle w:val="scinsert"/>
        </w:rPr>
        <w:noBreakHyphen/>
      </w:r>
      <w:r w:rsidRPr="00761D86">
        <w:rPr>
          <w:rStyle w:val="scinsert"/>
        </w:rPr>
        <w:t>21</w:t>
      </w:r>
      <w:r>
        <w:rPr>
          <w:rStyle w:val="scinsert"/>
        </w:rPr>
        <w:noBreakHyphen/>
      </w:r>
      <w:r w:rsidRPr="00761D86">
        <w:rPr>
          <w:rStyle w:val="scinsert"/>
        </w:rPr>
        <w:t>560, until the inmate has served at least sixty</w:t>
      </w:r>
      <w:r>
        <w:rPr>
          <w:rStyle w:val="scinsert"/>
        </w:rPr>
        <w:noBreakHyphen/>
      </w:r>
      <w:r w:rsidRPr="00761D86">
        <w:rPr>
          <w:rStyle w:val="scinsert"/>
        </w:rPr>
        <w:t xml:space="preserve">five percent of the actual term of imprisonment imposed if the conviction was pursuant to Section </w:t>
      </w:r>
      <w:r>
        <w:rPr>
          <w:rStyle w:val="scinsert"/>
        </w:rPr>
        <w:t>56</w:t>
      </w:r>
      <w:r>
        <w:rPr>
          <w:rStyle w:val="scinsert"/>
        </w:rPr>
        <w:noBreakHyphen/>
        <w:t>5</w:t>
      </w:r>
      <w:r>
        <w:rPr>
          <w:rStyle w:val="scinsert"/>
        </w:rPr>
        <w:noBreakHyphen/>
        <w:t>2945</w:t>
      </w:r>
      <w:r w:rsidRPr="00761D86">
        <w:rPr>
          <w:rStyle w:val="scinsert"/>
        </w:rPr>
        <w:t>. The department</w:t>
      </w:r>
      <w:r w:rsidRPr="00AF2C0D">
        <w:rPr>
          <w:rStyle w:val="scinsert"/>
        </w:rPr>
        <w:t>’</w:t>
      </w:r>
      <w:r w:rsidRPr="00761D86">
        <w:rPr>
          <w:rStyle w:val="scinsert"/>
        </w:rPr>
        <w:t xml:space="preserve">s inmate records office must report no </w:t>
      </w:r>
      <w:r w:rsidRPr="00761D86">
        <w:rPr>
          <w:rStyle w:val="scinsert"/>
        </w:rPr>
        <w:lastRenderedPageBreak/>
        <w:t>substantial or major disciplinary infractions. The inmate must have substantially completed a rehabilitation program and the department</w:t>
      </w:r>
      <w:r w:rsidRPr="00AF2C0D">
        <w:rPr>
          <w:rStyle w:val="scinsert"/>
        </w:rPr>
        <w:t>’</w:t>
      </w:r>
      <w:r w:rsidRPr="00761D86">
        <w:rPr>
          <w:rStyle w:val="scinsert"/>
        </w:rPr>
        <w:t>s reentry program. These percentages must be calculated without the application of earned work credits, education credits, or good conduct credits, not including any portion of the sentence which has been suspended.</w:t>
      </w:r>
    </w:p>
    <w:p w:rsidR="00FB17C8" w:rsidP="00FB17C8" w:rsidRDefault="00FB17C8" w14:paraId="16121685" w14:textId="77777777">
      <w:pPr>
        <w:pStyle w:val="sccodifiedsection"/>
      </w:pPr>
      <w:r w:rsidRPr="00761D86">
        <w:rPr>
          <w:color w:val="000000" w:themeColor="text1"/>
          <w:u w:color="000000" w:themeColor="text1"/>
        </w:rPr>
        <w:tab/>
      </w:r>
      <w:bookmarkStart w:name="ss_T24C13N150SC_lv1_030947076" w:id="6"/>
      <w:r w:rsidRPr="00761D86">
        <w:rPr>
          <w:rStyle w:val="scinsert"/>
        </w:rPr>
        <w:t>(</w:t>
      </w:r>
      <w:bookmarkEnd w:id="6"/>
      <w:r w:rsidRPr="00761D86">
        <w:rPr>
          <w:rStyle w:val="scinsert"/>
        </w:rPr>
        <w:t>C)</w:t>
      </w:r>
      <w:r w:rsidRPr="00761D86">
        <w:t xml:space="preserve"> </w:t>
      </w:r>
      <w:r w:rsidRPr="00761D86">
        <w:rPr>
          <w:color w:val="000000" w:themeColor="text1"/>
          <w:u w:color="000000" w:themeColor="text1"/>
        </w:rPr>
        <w:t>If an inmate sentenced to the custody of the Department of Corrections and confined in a facility of the department, confined in a local facility pursuant to a designated facility agreement authorized by Section 24</w:t>
      </w:r>
      <w:r>
        <w:rPr>
          <w:color w:val="000000" w:themeColor="text1"/>
          <w:u w:color="000000" w:themeColor="text1"/>
        </w:rPr>
        <w:noBreakHyphen/>
      </w:r>
      <w:r w:rsidRPr="00761D86">
        <w:rPr>
          <w:color w:val="000000" w:themeColor="text1"/>
          <w:u w:color="000000" w:themeColor="text1"/>
        </w:rPr>
        <w:t>3</w:t>
      </w:r>
      <w:r>
        <w:rPr>
          <w:color w:val="000000" w:themeColor="text1"/>
          <w:u w:color="000000" w:themeColor="text1"/>
        </w:rPr>
        <w:noBreakHyphen/>
      </w:r>
      <w:r w:rsidRPr="00761D86">
        <w:rPr>
          <w:color w:val="000000" w:themeColor="text1"/>
          <w:u w:color="000000" w:themeColor="text1"/>
        </w:rPr>
        <w:t>20 or Section 24</w:t>
      </w:r>
      <w:r>
        <w:rPr>
          <w:color w:val="000000" w:themeColor="text1"/>
          <w:u w:color="000000" w:themeColor="text1"/>
        </w:rPr>
        <w:noBreakHyphen/>
      </w:r>
      <w:r w:rsidRPr="00761D86">
        <w:rPr>
          <w:color w:val="000000" w:themeColor="text1"/>
          <w:u w:color="000000" w:themeColor="text1"/>
        </w:rPr>
        <w:t>3</w:t>
      </w:r>
      <w:r>
        <w:rPr>
          <w:color w:val="000000" w:themeColor="text1"/>
          <w:u w:color="000000" w:themeColor="text1"/>
        </w:rPr>
        <w:noBreakHyphen/>
      </w:r>
      <w:r w:rsidRPr="00761D86">
        <w:rPr>
          <w:color w:val="000000" w:themeColor="text1"/>
          <w:u w:color="000000" w:themeColor="text1"/>
        </w:rPr>
        <w:t>30, or temporarily confined, held, detained, or placed in a facility which is not under the direct control of the department,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which is not under the direct control of the local detention facility,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local official having charge of the inmate. The decision to withhold credits is solely the responsibility of officials named in this subsection.</w:t>
      </w:r>
    </w:p>
    <w:p w:rsidR="00FB17C8" w:rsidP="00FB17C8" w:rsidRDefault="00FB17C8" w14:paraId="4EF6B0A7" w14:textId="77777777">
      <w:pPr>
        <w:pStyle w:val="scemptyline"/>
      </w:pPr>
    </w:p>
    <w:p w:rsidR="00FB17C8" w:rsidP="00FB17C8" w:rsidRDefault="00FB17C8" w14:paraId="68E3C351" w14:textId="057CC3A3">
      <w:pPr>
        <w:pStyle w:val="scnoncodifiedsection"/>
      </w:pPr>
      <w:bookmarkStart w:name="eff_date_section" w:id="7"/>
      <w:bookmarkStart w:name="bs_num_2_lastsection" w:id="8"/>
      <w:bookmarkEnd w:id="7"/>
      <w:r>
        <w:rPr>
          <w:color w:val="000000" w:themeColor="text1"/>
          <w:u w:color="000000" w:themeColor="text1"/>
        </w:rPr>
        <w:t>S</w:t>
      </w:r>
      <w:bookmarkEnd w:id="8"/>
      <w:r>
        <w:t xml:space="preserve">ECTION </w:t>
      </w:r>
      <w:r>
        <w:rPr>
          <w:color w:val="000000" w:themeColor="text1"/>
          <w:u w:color="000000" w:themeColor="text1"/>
        </w:rPr>
        <w:t>2.</w:t>
      </w:r>
      <w:r>
        <w:rPr>
          <w:color w:val="000000" w:themeColor="text1"/>
          <w:u w:color="000000" w:themeColor="text1"/>
        </w:rPr>
        <w:tab/>
        <w:t xml:space="preserve">The provisions of this act take effect upon approval by the Governor and apply retroactively to inmates currently serving an active </w:t>
      </w:r>
      <w:r w:rsidR="004D239D">
        <w:rPr>
          <w:color w:val="000000" w:themeColor="text1"/>
          <w:u w:color="000000" w:themeColor="text1"/>
        </w:rPr>
        <w:t>incarcerated</w:t>
      </w:r>
      <w:r>
        <w:rPr>
          <w:color w:val="000000" w:themeColor="text1"/>
          <w:u w:color="000000" w:themeColor="text1"/>
        </w:rPr>
        <w:t xml:space="preserve"> sentence, subject to any more specific requirements or restrictions as may be provided.</w:t>
      </w:r>
    </w:p>
    <w:p w:rsidRPr="00DF3B44" w:rsidR="005516F6" w:rsidP="009E4191" w:rsidRDefault="00FB17C8" w14:paraId="7389F665" w14:textId="50C1E9C1">
      <w:pPr>
        <w:pStyle w:val="scbillendxx"/>
      </w:pPr>
      <w:r>
        <w:noBreakHyphen/>
      </w:r>
      <w:r>
        <w:noBreakHyphen/>
      </w:r>
      <w:r>
        <w:noBreakHyphen/>
      </w:r>
      <w:r>
        <w:noBreakHyphen/>
        <w:t>XX</w:t>
      </w:r>
      <w:r>
        <w:noBreakHyphen/>
      </w:r>
      <w:r>
        <w:noBreakHyphen/>
      </w:r>
      <w:r>
        <w:noBreakHyphen/>
      </w:r>
      <w:r>
        <w:noBreakHyphen/>
      </w:r>
    </w:p>
    <w:sectPr w:rsidRPr="00DF3B44" w:rsidR="005516F6" w:rsidSect="00F5114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1054DCD" w:rsidR="00685035" w:rsidRPr="007B4AF7" w:rsidRDefault="00313AD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[3520]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3AD4"/>
    <w:rsid w:val="003421F1"/>
    <w:rsid w:val="0034279C"/>
    <w:rsid w:val="00354F64"/>
    <w:rsid w:val="003559A1"/>
    <w:rsid w:val="00361563"/>
    <w:rsid w:val="00365810"/>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3B05"/>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239D"/>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0766"/>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5FB7"/>
    <w:rsid w:val="00F27D7B"/>
    <w:rsid w:val="00F31D34"/>
    <w:rsid w:val="00F342A1"/>
    <w:rsid w:val="00F36FBA"/>
    <w:rsid w:val="00F44D36"/>
    <w:rsid w:val="00F46262"/>
    <w:rsid w:val="00F4795D"/>
    <w:rsid w:val="00F50A61"/>
    <w:rsid w:val="00F51142"/>
    <w:rsid w:val="00F525CD"/>
    <w:rsid w:val="00F5286C"/>
    <w:rsid w:val="00F52E12"/>
    <w:rsid w:val="00F638CA"/>
    <w:rsid w:val="00F900B4"/>
    <w:rsid w:val="00FA0F2E"/>
    <w:rsid w:val="00FA4DB1"/>
    <w:rsid w:val="00FB17C8"/>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4D239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20&amp;session=125&amp;summary=B" TargetMode="External" Id="R36ba6fcd01f74314" /><Relationship Type="http://schemas.openxmlformats.org/officeDocument/2006/relationships/hyperlink" Target="https://www.scstatehouse.gov/sess125_2023-2024/prever/3520_20221215.docx" TargetMode="External" Id="Rc364839397fb4146" /><Relationship Type="http://schemas.openxmlformats.org/officeDocument/2006/relationships/hyperlink" Target="h:\hj\20230110.docx" TargetMode="External" Id="Rd3aefa999cbb4e2b" /><Relationship Type="http://schemas.openxmlformats.org/officeDocument/2006/relationships/hyperlink" Target="h:\hj\20230110.docx" TargetMode="External" Id="R433beb9a460c4ac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45f2128a-22ed-4afd-abad-e6ac4934e496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6104cb79-f380-4f9c-a8d3-5c4a20f625f8</T_BILL_REQUEST_REQUEST>
  <T_BILL_R_ORIGINALDRAFT>7aade82d-4fd8-4e39-8b11-84a0c275faff</T_BILL_R_ORIGINALDRAFT>
  <T_BILL_SPONSOR_SPONSOR>76c2ee4b-8bab-4426-b58d-9d4e16f23fa1</T_BILL_SPONSOR_SPONSOR>
  <T_BILL_T_ACTNUMBER>None</T_BILL_T_ACTNUMBER>
  <T_BILL_T_BILLNAME>[3520]</T_BILL_T_BILLNAME>
  <T_BILL_T_BILLNUMBER>3520</T_BILL_T_BILLNUMBER>
  <T_BILL_T_BILLTITLE>TO AMEND the SOUTH CAROLINA code of laws BY AMENDING SECTION 24-13-150, RELATING TO THE EARLY RELEASE OF INMATEs, SO AS TO REDUCE THE PERCENTAGE OF TIME INMATEs WHO HAve COMMITTED “NO PAROLE OFFENSEs” MUST SERVE BEFORE tHEy MAY BECOME ELIGIBLE FOR EARLY RELEASE, DISCHARGE, OR COMMUNITY SUPERVISION FROM EIGHTY-FIVE PERCENT TO SIXTY-FIVE PERCENT FOR CERTAIN DRUG OFFENSES, AND TO PROVIDE THIS REDUCTION APPLIES TO INMATES CURRENTLY INCARCERATED UNDER CERTAIN CIRCUMSTANCES. </T_BILL_T_BILLTITLE>
  <T_BILL_T_CHAMBER>house</T_BILL_T_CHAMBER>
  <T_BILL_T_FILENAME> </T_BILL_T_FILENAME>
  <T_BILL_T_LEGTYPE>bill_statewide</T_BILL_T_LEGTYPE>
  <T_BILL_T_RATNUMBER>None</T_BILL_T_RATNUMBER>
  <T_BILL_T_SECTIONS>[{"SectionUUID":"77978ab7-7ccd-44be-9106-1e6fbf293fc7","SectionName":"code_section","SectionNumber":1,"SectionType":"code_section","CodeSections":[{"CodeSectionBookmarkName":"cs_T24C13N150_35fe18c99","IsConstitutionSection":false,"Identity":"24-13-150","IsNew":false,"SubSections":[{"Level":1,"Identity":"T24C13N150SB","SubSectionBookmarkName":"ss_T24C13N150SB_lv1_2e1af410d","IsNewSubSection":false},{"Level":1,"Identity":"T24C13N150SC","SubSectionBookmarkName":"ss_T24C13N150SC_lv1_030947076","IsNewSubSection":false}],"TitleRelatedTo":"Early release, discharge, and community supervision;  limitations;  forfeiture of credits.","TitleSoAsTo":"","Deleted":false}],"TitleText":"","DisableControls":false,"Deleted":false,"RepealItems":[],"SectionBookmarkName":"bs_num_1_b3a7726c0"},{"SectionUUID":"e858845c-9124-4f12-9d5e-7ba5ca799613","SectionName":"standard_eff_date_section","SectionNumber":2,"SectionType":"drafting_clause","CodeSections":[],"TitleText":"","DisableControls":false,"Deleted":false,"RepealItems":[],"SectionBookmarkName":"bs_num_2_lastsection"}]</T_BILL_T_SECTIONS>
  <T_BILL_T_SECTIONSHISTORY>[{"Id":1,"SectionsList":[{"SectionUUID":"77978ab7-7ccd-44be-9106-1e6fbf293fc7","SectionName":"code_section","SectionNumber":1,"SectionType":"code_section","CodeSections":[{"CodeSectionBookmarkName":"cs_T24C13N150_35fe18c99","IsConstitutionSection":false,"Identity":"24-13-150","IsNew":false,"SubSections":[],"TitleRelatedTo":"Early release, discharge, and community supervision;  limitations;  forfeiture of credits.","TitleSoAsTo":"","Deleted":false}],"TitleText":"","DisableControls":false,"Deleted":false,"RepealItems":[],"SectionBookmarkName":"bs_num_1_b3a7726c0"},{"SectionUUID":"e858845c-9124-4f12-9d5e-7ba5ca799613","SectionName":"standard_eff_date_section","SectionNumber":2,"SectionType":"drafting_clause","CodeSections":[],"TitleText":"","DisableControls":false,"Deleted":false,"RepealItems":[],"SectionBookmarkName":"bs_num_2_lastsection"}],"Timestamp":"2022-12-13T16:05:04.1861852-05:00","Username":null},{"Id":2,"SectionsList":[{"SectionUUID":"77978ab7-7ccd-44be-9106-1e6fbf293fc7","SectionName":"code_section","SectionNumber":1,"SectionType":"code_section","CodeSections":[{"CodeSectionBookmarkName":"cs_T24C13N150_35fe18c99","IsConstitutionSection":false,"Identity":"24-13-150","IsNew":false,"SubSections":[{"Level":1,"Identity":"T24C13N150SB","SubSectionBookmarkName":"ss_T24C13N150SB_lv1_2e1af410d","IsNewSubSection":false},{"Level":1,"Identity":"T24C13N150SC","SubSectionBookmarkName":"ss_T24C13N150SC_lv1_030947076","IsNewSubSection":false}],"TitleRelatedTo":"Early release, discharge, and community supervision;  limitations;  forfeiture of credits.","TitleSoAsTo":"","Deleted":false}],"TitleText":"","DisableControls":false,"Deleted":false,"RepealItems":[],"SectionBookmarkName":"bs_num_1_b3a7726c0"},{"SectionUUID":"e858845c-9124-4f12-9d5e-7ba5ca799613","SectionName":"standard_eff_date_section","SectionNumber":2,"SectionType":"drafting_clause","CodeSections":[],"TitleText":"","DisableControls":false,"Deleted":false,"RepealItems":[],"SectionBookmarkName":"bs_num_2_lastsection"}],"Timestamp":"2022-12-13T16:47:33.0779226-05:00","Username":"gwenthurmond@scstatehouse.gov"}]</T_BILL_T_SECTIONSHISTORY>
  <T_BILL_T_SUBJECT>Early release of an inmate</T_BILL_T_SUBJECT>
  <T_BILL_UR_DRAFTER>carlmcintosh@scstatehouse.gov</T_BILL_UR_DRAFTER>
  <T_BILL_UR_DRAFTINGASSISTANT>gwenthurmond@scstatehouse.gov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20</cp:revision>
  <cp:lastPrinted>2022-12-13T21:46:00Z</cp:lastPrinted>
  <dcterms:created xsi:type="dcterms:W3CDTF">2022-06-03T11:45:00Z</dcterms:created>
  <dcterms:modified xsi:type="dcterms:W3CDTF">2022-12-23T14:47:00Z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