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and Gilliam</w:t>
      </w:r>
    </w:p>
    <w:p>
      <w:pPr>
        <w:widowControl w:val="false"/>
        <w:spacing w:after="0"/>
        <w:jc w:val="left"/>
      </w:pPr>
      <w:r>
        <w:rPr>
          <w:rFonts w:ascii="Times New Roman"/>
          <w:sz w:val="22"/>
        </w:rPr>
        <w:t xml:space="preserve">Document Path: LC-0184SA23.docx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United States Flag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9e42466a7ff94e63">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Judiciary</w:t>
      </w:r>
      <w:r>
        <w:t xml:space="preserve"> (</w:t>
      </w:r>
      <w:hyperlink w:history="true" r:id="R0eae7ab8c9ff44fb">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1c633654460f40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3570b340f44033">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E0EA5" w14:paraId="40FEFADA" w14:textId="7CE63630">
          <w:pPr>
            <w:pStyle w:val="scbilltitle"/>
            <w:tabs>
              <w:tab w:val="left" w:pos="2104"/>
            </w:tabs>
          </w:pPr>
          <w:r>
            <w:t xml:space="preserve">TO AMEND </w:t>
          </w:r>
          <w:r w:rsidR="00A407C4">
            <w:t xml:space="preserve">the south carolina code of laws by amending </w:t>
          </w:r>
          <w:r>
            <w:t>SECTION 27-1-60,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sdtContent>
    </w:sdt>
    <w:bookmarkStart w:name="at_b0831edc9" w:displacedByCustomXml="prev" w:id="0"/>
    <w:bookmarkEnd w:id="0"/>
    <w:p w:rsidRPr="00DF3B44" w:rsidR="006C18F0" w:rsidP="006C18F0" w:rsidRDefault="006C18F0" w14:paraId="5BAAC1B7" w14:textId="77777777">
      <w:pPr>
        <w:pStyle w:val="scbillwhereasclause"/>
      </w:pPr>
    </w:p>
    <w:p w:rsidR="00FE0EA5" w:rsidP="00FE0EA5" w:rsidRDefault="00FE0EA5" w14:paraId="60FF92E7" w14:textId="77777777">
      <w:pPr>
        <w:pStyle w:val="scenactingwords"/>
      </w:pPr>
      <w:bookmarkStart w:name="ew_5f4191cfc" w:id="1"/>
      <w:r>
        <w:t>B</w:t>
      </w:r>
      <w:bookmarkEnd w:id="1"/>
      <w:r>
        <w:t>e it enacted by the General Assembly of the State of South Carolina:</w:t>
      </w:r>
    </w:p>
    <w:p w:rsidR="00FE0EA5" w:rsidP="00FE0EA5" w:rsidRDefault="00FE0EA5" w14:paraId="47B38A73" w14:textId="77777777">
      <w:pPr>
        <w:pStyle w:val="scemptyline"/>
      </w:pPr>
    </w:p>
    <w:p w:rsidR="00FE0EA5" w:rsidP="00FE0EA5" w:rsidRDefault="00FE0EA5" w14:paraId="4DD33225" w14:textId="29282F37">
      <w:pPr>
        <w:pStyle w:val="scdirectionallanguage"/>
      </w:pPr>
      <w:bookmarkStart w:name="bs_num_1_b587465f6" w:id="2"/>
      <w:r>
        <w:t>S</w:t>
      </w:r>
      <w:bookmarkEnd w:id="2"/>
      <w:r>
        <w:t>ECTION 1.</w:t>
      </w:r>
      <w:r>
        <w:tab/>
      </w:r>
      <w:bookmarkStart w:name="dl_ebd8e259c" w:id="3"/>
      <w:r>
        <w:t>S</w:t>
      </w:r>
      <w:bookmarkEnd w:id="3"/>
      <w:r>
        <w:t>ection 27</w:t>
      </w:r>
      <w:r>
        <w:noBreakHyphen/>
        <w:t>1</w:t>
      </w:r>
      <w:r>
        <w:noBreakHyphen/>
        <w:t xml:space="preserve">60 of the </w:t>
      </w:r>
      <w:r w:rsidR="00A407C4">
        <w:t>S.C.</w:t>
      </w:r>
      <w:r>
        <w:t xml:space="preserve"> Code is amended to read:</w:t>
      </w:r>
    </w:p>
    <w:p w:rsidR="00FE0EA5" w:rsidP="00FE0EA5" w:rsidRDefault="00FE0EA5" w14:paraId="3A37A383" w14:textId="77777777">
      <w:pPr>
        <w:pStyle w:val="scemptyline"/>
      </w:pPr>
    </w:p>
    <w:p w:rsidRPr="00DA202A" w:rsidR="00FE0EA5" w:rsidP="00FE0EA5" w:rsidRDefault="00FE0EA5" w14:paraId="0388ABEA" w14:textId="77777777">
      <w:pPr>
        <w:pStyle w:val="sccodifiedsection"/>
      </w:pPr>
      <w:r>
        <w:tab/>
      </w:r>
      <w:bookmarkStart w:name="cs_T27C1N60_26d557a6e" w:id="4"/>
      <w:r w:rsidRPr="00DA202A">
        <w:t>S</w:t>
      </w:r>
      <w:bookmarkEnd w:id="4"/>
      <w:r>
        <w:t>ection 27</w:t>
      </w:r>
      <w:r w:rsidRPr="00DA202A">
        <w:noBreakHyphen/>
        <w:t>1</w:t>
      </w:r>
      <w:r w:rsidRPr="00DA202A">
        <w:noBreakHyphen/>
        <w:t>60.</w:t>
      </w:r>
      <w:r w:rsidRPr="00DA202A">
        <w:tab/>
      </w:r>
      <w:bookmarkStart w:name="ss_T27C1N60SA_lv1_1f77cbfe3" w:id="5"/>
      <w:r w:rsidRPr="00DA202A">
        <w:t>(</w:t>
      </w:r>
      <w:bookmarkEnd w:id="5"/>
      <w:r w:rsidRPr="00DA202A">
        <w:t xml:space="preserve">A) Regardless of any restrictive covenant, declaration, rule, contractual provision, or other requirement concerning flags or decorations found in a deed, contract, lease, rental agreement, or homeowners’ association document, </w:t>
      </w:r>
      <w:r>
        <w:rPr>
          <w:rStyle w:val="scstrike"/>
        </w:rPr>
        <w:t>any</w:t>
      </w:r>
      <w:r w:rsidRPr="00DA202A">
        <w:t xml:space="preserve"> </w:t>
      </w:r>
      <w:r w:rsidRPr="00DA202A">
        <w:rPr>
          <w:rStyle w:val="scinsert"/>
        </w:rPr>
        <w:t>a</w:t>
      </w:r>
      <w:r w:rsidRPr="00DA202A">
        <w:t xml:space="preserve"> homeowner or tenant may display one portable, removable United States flag </w:t>
      </w:r>
      <w:r w:rsidRPr="00DA202A">
        <w:rPr>
          <w:rStyle w:val="scinsert"/>
        </w:rPr>
        <w:t>and one portable</w:t>
      </w:r>
      <w:r>
        <w:rPr>
          <w:rStyle w:val="scinsert"/>
        </w:rPr>
        <w:t>,</w:t>
      </w:r>
      <w:r w:rsidRPr="00DA202A">
        <w:rPr>
          <w:rStyle w:val="scinsert"/>
        </w:rPr>
        <w:t xml:space="preserve"> removable South Carolina flag</w:t>
      </w:r>
      <w:r w:rsidRPr="00DA202A">
        <w:t xml:space="preserve"> in a respectful manner, consistent with 36 U.S.C. Sections 171</w:t>
      </w:r>
      <w:r w:rsidRPr="00DA202A">
        <w:noBreakHyphen/>
        <w:t xml:space="preserve">178, as amended, on the premises of the property of which he is entitled to use.  </w:t>
      </w:r>
      <w:r w:rsidRPr="00DA202A">
        <w:rPr>
          <w:rStyle w:val="scinsert"/>
        </w:rPr>
        <w:t>The above referenced governing documents applicable to the premises, including the bylaws of the homeowners’ association, also may not prohibit the installation of a flagpole for the display of the flag of the United States or South Carolina.  However, the governing documents may include reasonable rules and regulations regarding the location and size of the flagpole.</w:t>
      </w:r>
    </w:p>
    <w:p w:rsidRPr="00DA202A" w:rsidR="00FE0EA5" w:rsidP="00FE0EA5" w:rsidRDefault="00FE0EA5" w14:paraId="2D37E2E3" w14:textId="77777777">
      <w:pPr>
        <w:pStyle w:val="sccodifiedsection"/>
      </w:pPr>
      <w:r w:rsidRPr="00DA202A">
        <w:tab/>
      </w:r>
      <w:bookmarkStart w:name="ss_T27C1N60SB_lv1_a77a53e68" w:id="6"/>
      <w:r w:rsidRPr="00DA202A">
        <w:t>(</w:t>
      </w:r>
      <w:bookmarkEnd w:id="6"/>
      <w:r w:rsidRPr="00DA202A">
        <w:t>B)</w:t>
      </w:r>
      <w:bookmarkStart w:name="ss_T27C1N60S1_lv2_d8b397e64" w:id="7"/>
      <w:r w:rsidRPr="00DA202A">
        <w:t>(</w:t>
      </w:r>
      <w:bookmarkEnd w:id="7"/>
      <w:r w:rsidRPr="00DA202A">
        <w:t xml:space="preserve">1) </w:t>
      </w:r>
      <w:r>
        <w:rPr>
          <w:rStyle w:val="scstrike"/>
        </w:rPr>
        <w:t>No</w:t>
      </w:r>
      <w:r w:rsidRPr="00DA202A">
        <w:t xml:space="preserve"> </w:t>
      </w:r>
      <w:r w:rsidRPr="00DA202A">
        <w:rPr>
          <w:rStyle w:val="scinsert"/>
        </w:rPr>
        <w:t>A</w:t>
      </w:r>
      <w:r w:rsidRPr="00DA202A">
        <w:t xml:space="preserve"> homeowners’ association document may </w:t>
      </w:r>
      <w:r w:rsidRPr="00DA202A">
        <w:rPr>
          <w:rStyle w:val="scinsert"/>
        </w:rPr>
        <w:t>not</w:t>
      </w:r>
      <w:r w:rsidRPr="00DA202A">
        <w:t xml:space="preserve"> preclude the display of one portable, removable United States flag </w:t>
      </w:r>
      <w:r w:rsidRPr="00DA202A">
        <w:rPr>
          <w:rStyle w:val="scinsert"/>
        </w:rPr>
        <w:t>or one portable, removable South Carolina flag</w:t>
      </w:r>
      <w:r w:rsidRPr="00DA202A">
        <w:t xml:space="preserve"> by homeowners </w:t>
      </w:r>
      <w:r w:rsidRPr="00DA202A">
        <w:rPr>
          <w:rStyle w:val="scinsert"/>
        </w:rPr>
        <w:t>and the use of a flagpole for displaying the flag as provided in subsection (A)</w:t>
      </w:r>
      <w:r w:rsidRPr="00DA202A">
        <w:t>.  However, the flag must be displayed in a respectful manner, consistent with 36 U.S.C. Sections 171</w:t>
      </w:r>
      <w:r w:rsidRPr="00DA202A">
        <w:noBreakHyphen/>
        <w:t>178, as amended.</w:t>
      </w:r>
    </w:p>
    <w:p w:rsidRPr="00DA202A" w:rsidR="00FE0EA5" w:rsidP="00FE0EA5" w:rsidRDefault="00FE0EA5" w14:paraId="5407DEC1" w14:textId="77777777">
      <w:pPr>
        <w:pStyle w:val="sccodifiedsection"/>
      </w:pPr>
      <w:r w:rsidRPr="00DA202A">
        <w:tab/>
      </w:r>
      <w:r w:rsidRPr="00DA202A">
        <w:tab/>
      </w:r>
      <w:bookmarkStart w:name="ss_T27C1N60S2_lv2_856d869b8" w:id="8"/>
      <w:r w:rsidRPr="00DA202A">
        <w:t>(</w:t>
      </w:r>
      <w:bookmarkEnd w:id="8"/>
      <w:r w:rsidRPr="00DA202A">
        <w:t xml:space="preserve">2) </w:t>
      </w:r>
      <w:r>
        <w:rPr>
          <w:rStyle w:val="scstrike"/>
        </w:rPr>
        <w:t>No</w:t>
      </w:r>
      <w:r w:rsidRPr="00DA202A">
        <w:t xml:space="preserve"> </w:t>
      </w:r>
      <w:r w:rsidRPr="00DA202A">
        <w:rPr>
          <w:rStyle w:val="scinsert"/>
        </w:rPr>
        <w:t>A</w:t>
      </w:r>
      <w:r w:rsidRPr="00DA202A">
        <w:t xml:space="preserve"> restrictive covenant in a deed may </w:t>
      </w:r>
      <w:r w:rsidRPr="00DA202A">
        <w:rPr>
          <w:rStyle w:val="scinsert"/>
        </w:rPr>
        <w:t>not</w:t>
      </w:r>
      <w:r w:rsidRPr="00DA202A">
        <w:t xml:space="preserve"> preclude the display of one portable, removable United States flag </w:t>
      </w:r>
      <w:r w:rsidRPr="00DA202A">
        <w:rPr>
          <w:rStyle w:val="scinsert"/>
        </w:rPr>
        <w:t>or one portable, removable South Carolina flag</w:t>
      </w:r>
      <w:r w:rsidRPr="00DA202A">
        <w:t xml:space="preserve"> on the property </w:t>
      </w:r>
      <w:r w:rsidRPr="00DA202A">
        <w:rPr>
          <w:rStyle w:val="scinsert"/>
        </w:rPr>
        <w:t>and the use of a flagpole for displaying the flag as provided in subsection (A)</w:t>
      </w:r>
      <w:r w:rsidRPr="00DA202A">
        <w:t>. However, the flag must be displayed in a respectful manner, consistent with 36 U.S.C. Sections 171</w:t>
      </w:r>
      <w:r w:rsidRPr="00DA202A">
        <w:noBreakHyphen/>
        <w:t>178, as amended.</w:t>
      </w:r>
    </w:p>
    <w:p w:rsidR="00FE0EA5" w:rsidP="00FE0EA5" w:rsidRDefault="00FE0EA5" w14:paraId="4CF9661C" w14:textId="37BA97FD">
      <w:pPr>
        <w:pStyle w:val="sccodifiedsection"/>
      </w:pPr>
      <w:r w:rsidRPr="00DA202A">
        <w:tab/>
      </w:r>
      <w:r w:rsidRPr="00DA202A">
        <w:tab/>
      </w:r>
      <w:bookmarkStart w:name="ss_T27C1N60S3_lv2_d4f887acb" w:id="9"/>
      <w:r w:rsidRPr="00DA202A">
        <w:t>(</w:t>
      </w:r>
      <w:bookmarkEnd w:id="9"/>
      <w:r w:rsidRPr="00DA202A">
        <w:t xml:space="preserve">3) </w:t>
      </w:r>
      <w:r>
        <w:rPr>
          <w:rStyle w:val="scstrike"/>
        </w:rPr>
        <w:t>No</w:t>
      </w:r>
      <w:r w:rsidRPr="00DA202A">
        <w:t xml:space="preserve"> </w:t>
      </w:r>
      <w:r w:rsidRPr="00DA202A">
        <w:rPr>
          <w:rStyle w:val="scinsert"/>
        </w:rPr>
        <w:t>A</w:t>
      </w:r>
      <w:r w:rsidRPr="00DA202A">
        <w:t xml:space="preserve"> rental agreement, lease, or contract may </w:t>
      </w:r>
      <w:r w:rsidRPr="00DA202A">
        <w:rPr>
          <w:rStyle w:val="scinsert"/>
        </w:rPr>
        <w:t>not</w:t>
      </w:r>
      <w:r w:rsidRPr="00DA202A">
        <w:t xml:space="preserve"> preclude the display of one portable, removable United States flag </w:t>
      </w:r>
      <w:r w:rsidRPr="00DA202A">
        <w:rPr>
          <w:rStyle w:val="scinsert"/>
        </w:rPr>
        <w:t>or one portable, removable South Carolina flag</w:t>
      </w:r>
      <w:r w:rsidRPr="00DA202A">
        <w:t xml:space="preserve"> on the premises of any </w:t>
      </w:r>
      <w:r w:rsidRPr="00DA202A">
        <w:lastRenderedPageBreak/>
        <w:t xml:space="preserve">tenant </w:t>
      </w:r>
      <w:r w:rsidRPr="00DA202A">
        <w:rPr>
          <w:rStyle w:val="scinsert"/>
        </w:rPr>
        <w:t>and the use of a flagpole for displaying the flag as provided in subsection (A)</w:t>
      </w:r>
      <w:r w:rsidRPr="00DA202A">
        <w:t>. However, the flag must be displayed in a respectful manner, consistent with 36 U.S.C. Sections 171</w:t>
      </w:r>
      <w:r w:rsidRPr="00DA202A">
        <w:noBreakHyphen/>
        <w:t>178, as amended.</w:t>
      </w:r>
    </w:p>
    <w:p w:rsidR="00FE0EA5" w:rsidP="00FE0EA5" w:rsidRDefault="00FE0EA5" w14:paraId="16CF0B67" w14:textId="77777777">
      <w:pPr>
        <w:pStyle w:val="sccodifiedsection"/>
      </w:pPr>
      <w:r>
        <w:tab/>
      </w:r>
      <w:bookmarkStart w:name="ss_T27C1N60SC_lv1_d08782a34" w:id="10"/>
      <w:r>
        <w:t>(</w:t>
      </w:r>
      <w:bookmarkEnd w:id="10"/>
      <w:r>
        <w:t xml:space="preserve">C) </w:t>
      </w:r>
      <w:r w:rsidRPr="00423E39">
        <w:t>For purposes of this section:</w:t>
      </w:r>
    </w:p>
    <w:p w:rsidR="00FE0EA5" w:rsidP="00FE0EA5" w:rsidRDefault="00FE0EA5" w14:paraId="1FF52FFC" w14:textId="063ABAE3">
      <w:pPr>
        <w:pStyle w:val="sccodifiedsection"/>
      </w:pPr>
      <w:r w:rsidRPr="00423E39">
        <w:tab/>
      </w:r>
      <w:r w:rsidRPr="00423E39">
        <w:tab/>
      </w:r>
      <w:bookmarkStart w:name="ss_T27C1N60S1_lv2_53559bb0f" w:id="11"/>
      <w:r w:rsidRPr="00423E39">
        <w:t>(</w:t>
      </w:r>
      <w:bookmarkEnd w:id="11"/>
      <w:r w:rsidRPr="00423E39">
        <w:t>1)</w:t>
      </w:r>
      <w:r>
        <w:t xml:space="preserve"> </w:t>
      </w:r>
      <w:r w:rsidR="00851910">
        <w:t>“</w:t>
      </w:r>
      <w:r w:rsidR="00C00D56">
        <w:t>H</w:t>
      </w:r>
      <w:r w:rsidRPr="00423E39">
        <w:t>omeowner</w:t>
      </w:r>
      <w:r w:rsidR="00851910">
        <w:t>”</w:t>
      </w:r>
      <w:r w:rsidRPr="00423E39">
        <w:t xml:space="preserve"> means a person who holds title to real property, in fee simple or otherwise including, but not limited to, an owner of real property subject to a homeowners</w:t>
      </w:r>
      <w:r w:rsidRPr="00122907">
        <w:t>’</w:t>
      </w:r>
      <w:r w:rsidRPr="00423E39">
        <w:t xml:space="preserve"> association, an owner of an interest in a vacation time sharing plan, and a co</w:t>
      </w:r>
      <w:r>
        <w:noBreakHyphen/>
      </w:r>
      <w:r w:rsidRPr="00423E39">
        <w:t>owner under a horizontal property regime</w:t>
      </w:r>
      <w:r w:rsidRPr="00423E39">
        <w:rPr>
          <w:rStyle w:val="scstrike"/>
        </w:rPr>
        <w:t>;</w:t>
      </w:r>
      <w:r w:rsidR="00C00D56">
        <w:rPr>
          <w:rStyle w:val="scinsert"/>
        </w:rPr>
        <w:t>.</w:t>
      </w:r>
    </w:p>
    <w:p w:rsidR="00FE0EA5" w:rsidP="00FE0EA5" w:rsidRDefault="00FE0EA5" w14:paraId="1C3E878D" w14:textId="66932334">
      <w:pPr>
        <w:pStyle w:val="sccodifiedsection"/>
      </w:pPr>
      <w:r>
        <w:tab/>
      </w:r>
      <w:r>
        <w:tab/>
      </w:r>
      <w:bookmarkStart w:name="ss_T27C1N60S2_lv2_b3a95f09a" w:id="12"/>
      <w:r>
        <w:t>(</w:t>
      </w:r>
      <w:bookmarkEnd w:id="12"/>
      <w:r>
        <w:t>2)</w:t>
      </w:r>
      <w:r w:rsidR="00F87EC3">
        <w:t xml:space="preserve"> “</w:t>
      </w:r>
      <w:r w:rsidRPr="00423E39" w:rsidR="00F87EC3">
        <w:t>Homeowners</w:t>
      </w:r>
      <w:r w:rsidR="00851910">
        <w:t>’</w:t>
      </w:r>
      <w:r w:rsidRPr="00423E39">
        <w:t xml:space="preserve"> association</w:t>
      </w:r>
      <w:r w:rsidR="00851910">
        <w:t>”</w:t>
      </w:r>
      <w:r w:rsidRPr="00423E39">
        <w:t xml:space="preserve"> has the same meaning as provided in Section 12</w:t>
      </w:r>
      <w:r>
        <w:noBreakHyphen/>
      </w:r>
      <w:r w:rsidRPr="00423E39">
        <w:t>43</w:t>
      </w:r>
      <w:r>
        <w:noBreakHyphen/>
      </w:r>
      <w:r w:rsidRPr="00423E39">
        <w:t>230</w:t>
      </w:r>
      <w:r w:rsidRPr="00423E39">
        <w:rPr>
          <w:rStyle w:val="scstrike"/>
        </w:rPr>
        <w:t>;</w:t>
      </w:r>
      <w:r w:rsidR="00F87EC3">
        <w:rPr>
          <w:rStyle w:val="scinsert"/>
        </w:rPr>
        <w:t>.</w:t>
      </w:r>
    </w:p>
    <w:p w:rsidR="00FE0EA5" w:rsidP="00FE0EA5" w:rsidRDefault="00FE0EA5" w14:paraId="25E2FE1F" w14:textId="391FCF7B">
      <w:pPr>
        <w:pStyle w:val="sccodifiedsection"/>
      </w:pPr>
      <w:r>
        <w:tab/>
      </w:r>
      <w:r>
        <w:tab/>
      </w:r>
      <w:bookmarkStart w:name="ss_T27C1N60S3_lv2_c86e96385" w:id="13"/>
      <w:r>
        <w:t>(</w:t>
      </w:r>
      <w:bookmarkEnd w:id="13"/>
      <w:r>
        <w:t xml:space="preserve">3) </w:t>
      </w:r>
      <w:r w:rsidR="00F87EC3">
        <w:t>“</w:t>
      </w:r>
      <w:r w:rsidRPr="00423E39" w:rsidR="00F87EC3">
        <w:t>Homeowners</w:t>
      </w:r>
      <w:r w:rsidR="00F87EC3">
        <w:rPr>
          <w:rStyle w:val="scstrike"/>
        </w:rPr>
        <w:t>”</w:t>
      </w:r>
      <w:r w:rsidR="00C00D56">
        <w:rPr>
          <w:rStyle w:val="scinsert"/>
        </w:rPr>
        <w:t>’</w:t>
      </w:r>
      <w:r w:rsidRPr="00423E39" w:rsidR="00F87EC3">
        <w:t xml:space="preserve"> </w:t>
      </w:r>
      <w:r w:rsidRPr="00423E39">
        <w:t>association document</w:t>
      </w:r>
      <w:r w:rsidR="00851910">
        <w:t>”</w:t>
      </w:r>
      <w:r w:rsidRPr="00423E39">
        <w:t xml:space="preserve"> includes, but is not limited to, declarations of covenants, articles of incorporation, bylaws, or any similar document concerning the rights of property owners to use their property</w:t>
      </w:r>
      <w:r w:rsidRPr="00423E39">
        <w:rPr>
          <w:rStyle w:val="scstrike"/>
        </w:rPr>
        <w:t>; and</w:t>
      </w:r>
      <w:r w:rsidR="00F87EC3">
        <w:rPr>
          <w:rStyle w:val="scinsert"/>
        </w:rPr>
        <w:t>.</w:t>
      </w:r>
    </w:p>
    <w:p w:rsidR="00FE0EA5" w:rsidP="00FE0EA5" w:rsidRDefault="00FE0EA5" w14:paraId="103BB332" w14:textId="28BD6631">
      <w:pPr>
        <w:pStyle w:val="sccodifiedsection"/>
      </w:pPr>
      <w:r>
        <w:tab/>
      </w:r>
      <w:r>
        <w:tab/>
      </w:r>
      <w:bookmarkStart w:name="ss_T27C1N60S4_lv2_51b111b87" w:id="14"/>
      <w:r>
        <w:t>(</w:t>
      </w:r>
      <w:bookmarkEnd w:id="14"/>
      <w:r>
        <w:t xml:space="preserve">4) </w:t>
      </w:r>
      <w:r w:rsidR="00F87EC3">
        <w:t>“</w:t>
      </w:r>
      <w:r w:rsidRPr="00423E39" w:rsidR="00F87EC3">
        <w:t>Tenant</w:t>
      </w:r>
      <w:r w:rsidR="00F87EC3">
        <w:t>”</w:t>
      </w:r>
      <w:r w:rsidRPr="00423E39" w:rsidR="00F87EC3">
        <w:t xml:space="preserve"> </w:t>
      </w:r>
      <w:r w:rsidRPr="00423E39">
        <w:t xml:space="preserve">means </w:t>
      </w:r>
      <w:r>
        <w:rPr>
          <w:rStyle w:val="scstrike"/>
        </w:rPr>
        <w:t>any</w:t>
      </w:r>
      <w:r w:rsidRPr="00423E39">
        <w:t xml:space="preserve"> </w:t>
      </w:r>
      <w:r>
        <w:rPr>
          <w:rStyle w:val="scinsert"/>
        </w:rPr>
        <w:t>a</w:t>
      </w:r>
      <w:r>
        <w:t xml:space="preserve"> </w:t>
      </w:r>
      <w:r w:rsidRPr="00423E39">
        <w:t xml:space="preserve">tenant under a rental agreement executed pursuant to Chapter 40, Title 27, </w:t>
      </w:r>
      <w:r>
        <w:rPr>
          <w:rStyle w:val="scstrike"/>
        </w:rPr>
        <w:t>any</w:t>
      </w:r>
      <w:r w:rsidRPr="00423E39">
        <w:t xml:space="preserve"> </w:t>
      </w:r>
      <w:r>
        <w:rPr>
          <w:rStyle w:val="scinsert"/>
        </w:rPr>
        <w:t>a</w:t>
      </w:r>
      <w:r>
        <w:t xml:space="preserve"> </w:t>
      </w:r>
      <w:r w:rsidRPr="00423E39">
        <w:t xml:space="preserve">tenant under a rental agreement executed pursuant to Chapter 47, Title 27, </w:t>
      </w:r>
      <w:r>
        <w:rPr>
          <w:rStyle w:val="scstrike"/>
        </w:rPr>
        <w:t>any</w:t>
      </w:r>
      <w:r w:rsidRPr="00423E39">
        <w:t xml:space="preserve"> </w:t>
      </w:r>
      <w:r>
        <w:rPr>
          <w:rStyle w:val="scinsert"/>
        </w:rPr>
        <w:t>a</w:t>
      </w:r>
      <w:r>
        <w:t xml:space="preserve"> </w:t>
      </w:r>
      <w:r w:rsidRPr="00423E39">
        <w:t xml:space="preserve">tenant under a vacation time sharing plan, </w:t>
      </w:r>
      <w:r>
        <w:rPr>
          <w:rStyle w:val="scstrike"/>
        </w:rPr>
        <w:t>any</w:t>
      </w:r>
      <w:r w:rsidRPr="00423E39">
        <w:t xml:space="preserve"> </w:t>
      </w:r>
      <w:r>
        <w:rPr>
          <w:rStyle w:val="scinsert"/>
        </w:rPr>
        <w:t>a</w:t>
      </w:r>
      <w:r>
        <w:t xml:space="preserve"> </w:t>
      </w:r>
      <w:r w:rsidRPr="00423E39">
        <w:t xml:space="preserve">tenant under a horizontal property regime, and </w:t>
      </w:r>
      <w:r>
        <w:rPr>
          <w:rStyle w:val="scstrike"/>
        </w:rPr>
        <w:t>any</w:t>
      </w:r>
      <w:r w:rsidRPr="00423E39">
        <w:t xml:space="preserve"> </w:t>
      </w:r>
      <w:r>
        <w:rPr>
          <w:rStyle w:val="scinsert"/>
        </w:rPr>
        <w:t>a</w:t>
      </w:r>
      <w:r>
        <w:t xml:space="preserve"> </w:t>
      </w:r>
      <w:r w:rsidRPr="00423E39">
        <w:t>person who leases commercial or residential real property under a contractual agreement.</w:t>
      </w:r>
    </w:p>
    <w:p w:rsidR="00FE0EA5" w:rsidP="00FE0EA5" w:rsidRDefault="00FE0EA5" w14:paraId="5D564706" w14:textId="77777777">
      <w:pPr>
        <w:pStyle w:val="scemptyline"/>
      </w:pPr>
    </w:p>
    <w:p w:rsidR="00FE0EA5" w:rsidP="00FE0EA5" w:rsidRDefault="00FE0EA5" w14:paraId="51EFA46B" w14:textId="77777777">
      <w:pPr>
        <w:pStyle w:val="scnoncodifiedsection"/>
      </w:pPr>
      <w:bookmarkStart w:name="eff_date_section" w:id="15"/>
      <w:bookmarkStart w:name="bs_num_2_lastsection" w:id="16"/>
      <w:bookmarkEnd w:id="15"/>
      <w:r>
        <w:t>S</w:t>
      </w:r>
      <w:bookmarkEnd w:id="16"/>
      <w:r>
        <w:t>ECTION 2.</w:t>
      </w:r>
      <w:r>
        <w:tab/>
        <w:t>This act takes effect upon approval by the Governor.</w:t>
      </w:r>
    </w:p>
    <w:p w:rsidRPr="00DF3B44" w:rsidR="005516F6" w:rsidP="009E4191" w:rsidRDefault="00FE0EA5" w14:paraId="7389F665" w14:textId="7F3F2017">
      <w:pPr>
        <w:pStyle w:val="scbillendxx"/>
      </w:pPr>
      <w:r>
        <w:noBreakHyphen/>
      </w:r>
      <w:r>
        <w:noBreakHyphen/>
      </w:r>
      <w:r>
        <w:noBreakHyphen/>
      </w:r>
      <w:r>
        <w:noBreakHyphen/>
        <w:t>XX</w:t>
      </w:r>
      <w:r>
        <w:noBreakHyphen/>
      </w:r>
      <w:r>
        <w:noBreakHyphen/>
      </w:r>
      <w:r>
        <w:noBreakHyphen/>
      </w:r>
      <w:r>
        <w:noBreakHyphen/>
      </w:r>
    </w:p>
    <w:sectPr w:rsidRPr="00DF3B44" w:rsidR="005516F6" w:rsidSect="009900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2EF34A" w:rsidR="00685035" w:rsidRPr="007B4AF7" w:rsidRDefault="00CF2E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96C1F">
              <w:t>[3775]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6C1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1910"/>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00B5"/>
    <w:rsid w:val="00980149"/>
    <w:rsid w:val="0098366F"/>
    <w:rsid w:val="00983A03"/>
    <w:rsid w:val="00986063"/>
    <w:rsid w:val="00990028"/>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7C4"/>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0D56"/>
    <w:rsid w:val="00C15F1B"/>
    <w:rsid w:val="00C16288"/>
    <w:rsid w:val="00C17D1D"/>
    <w:rsid w:val="00C45923"/>
    <w:rsid w:val="00C543E7"/>
    <w:rsid w:val="00C70225"/>
    <w:rsid w:val="00C72198"/>
    <w:rsid w:val="00C73C7D"/>
    <w:rsid w:val="00C75005"/>
    <w:rsid w:val="00C96C1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4557"/>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7EC3"/>
    <w:rsid w:val="00F900B4"/>
    <w:rsid w:val="00FA0F2E"/>
    <w:rsid w:val="00FA4DB1"/>
    <w:rsid w:val="00FB3F2A"/>
    <w:rsid w:val="00FC3593"/>
    <w:rsid w:val="00FD117D"/>
    <w:rsid w:val="00FD72E3"/>
    <w:rsid w:val="00FE06FC"/>
    <w:rsid w:val="00FE0EA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87EC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75&amp;session=125&amp;summary=B" TargetMode="External" Id="R1c633654460f40c7" /><Relationship Type="http://schemas.openxmlformats.org/officeDocument/2006/relationships/hyperlink" Target="https://www.scstatehouse.gov/sess125_2023-2024/prever/3775_20230124.docx" TargetMode="External" Id="R7b3570b340f44033" /><Relationship Type="http://schemas.openxmlformats.org/officeDocument/2006/relationships/hyperlink" Target="h:\hj\20230124.docx" TargetMode="External" Id="R9e42466a7ff94e63" /><Relationship Type="http://schemas.openxmlformats.org/officeDocument/2006/relationships/hyperlink" Target="h:\hj\20230124.docx" TargetMode="External" Id="R0eae7ab8c9ff44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cd0694b0-b4d2-4fb6-8ba2-a803c213c6f4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647a681c-4a7e-49da-b478-fb183fa74bf8</T_BILL_REQUEST_REQUEST>
  <T_BILL_R_ORIGINALDRAFT>bfe36577-9ea3-4b79-b621-d7df649f2e83</T_BILL_R_ORIGINALDRAFT>
  <T_BILL_SPONSOR_SPONSOR>3e836d2a-7508-48a9-803b-b336128c6946</T_BILL_SPONSOR_SPONSOR>
  <T_BILL_T_ACTNUMBER>None</T_BILL_T_ACTNUMBER>
  <T_BILL_T_BILLNAME>[3775]</T_BILL_T_BILLNAME>
  <T_BILL_T_BILLNUMBER>3775</T_BILL_T_BILLNUMBER>
  <T_BILL_T_BILLTITLE>TO AMEND the south carolina code of laws by amending SECTION 27-1-60,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T_BILL_T_BILLTITLE>
  <T_BILL_T_CHAMBER>house</T_BILL_T_CHAMBER>
  <T_BILL_T_FILENAME> </T_BILL_T_FILENAME>
  <T_BILL_T_LEGTYPE>bill_statewide</T_BILL_T_LEGTYPE>
  <T_BILL_T_RATNUMBER>None</T_BILL_T_RATNUMBER>
  <T_BILL_T_SECTIONS>[{"SectionUUID":"2c8e56ec-8bdc-4d40-94ef-b6a93cbcd30e","SectionName":"code_section","SectionNumber":1,"SectionType":"code_section","CodeSections":[{"CodeSectionBookmarkName":"cs_T27C1N60_26d557a6e","IsConstitutionSection":false,"Identity":"27-1-60","IsNew":false,"SubSections":[{"Level":1,"Identity":"T27C1N60SA","SubSectionBookmarkName":"ss_T27C1N60SA_lv1_1f77cbfe3","IsNewSubSection":false,"SubSectionReplacement":""},{"Level":1,"Identity":"T27C1N60SB","SubSectionBookmarkName":"ss_T27C1N60SB_lv1_a77a53e68","IsNewSubSection":false,"SubSectionReplacement":""},{"Level":2,"Identity":"T27C1N60S1","SubSectionBookmarkName":"ss_T27C1N60S1_lv2_d8b397e64","IsNewSubSection":false,"SubSectionReplacement":""},{"Level":2,"Identity":"T27C1N60S2","SubSectionBookmarkName":"ss_T27C1N60S2_lv2_856d869b8","IsNewSubSection":false,"SubSectionReplacement":""},{"Level":2,"Identity":"T27C1N60S3","SubSectionBookmarkName":"ss_T27C1N60S3_lv2_d4f887acb","IsNewSubSection":false,"SubSectionReplacement":""},{"Level":1,"Identity":"T27C1N60SC","SubSectionBookmarkName":"ss_T27C1N60SC_lv1_d08782a34","IsNewSubSection":false,"SubSectionReplacement":""},{"Level":2,"Identity":"T27C1N60S1","SubSectionBookmarkName":"ss_T27C1N60S1_lv2_53559bb0f","IsNewSubSection":false,"SubSectionReplacement":""},{"Level":2,"Identity":"T27C1N60S2","SubSectionBookmarkName":"ss_T27C1N60S2_lv2_b3a95f09a","IsNewSubSection":false,"SubSectionReplacement":""},{"Level":2,"Identity":"T27C1N60S3","SubSectionBookmarkName":"ss_T27C1N60S3_lv2_c86e96385","IsNewSubSection":false,"SubSectionReplacement":""},{"Level":2,"Identity":"T27C1N60S4","SubSectionBookmarkName":"ss_T27C1N60S4_lv2_51b111b87","IsNewSubSection":false,"SubSectionReplacement":""}],"TitleRelatedTo":"Right of homeowner or tenant to fly United States flag; restrictive covenants and rental agreements; definitions.","TitleSoAsTo":"","Deleted":false}],"TitleText":"","DisableControls":false,"Deleted":false,"RepealItems":[],"SectionBookmarkName":"bs_num_1_b587465f6"},{"SectionUUID":"09056bea-8bf4-4ce8-9701-b22c41cce52c","SectionName":"standard_eff_date_section","SectionNumber":2,"SectionType":"drafting_clause","CodeSections":[],"TitleText":"","DisableControls":false,"Deleted":false,"RepealItems":[],"SectionBookmarkName":"bs_num_2_lastsection"}]</T_BILL_T_SECTIONS>
  <T_BILL_T_SECTIONSHISTORY>[{"Id":2,"SectionsList":[{"SectionUUID":"2c8e56ec-8bdc-4d40-94ef-b6a93cbcd30e","SectionName":"code_section","SectionNumber":1,"SectionType":"code_section","CodeSections":[{"CodeSectionBookmarkName":"cs_T27C1N60_26d557a6e","IsConstitutionSection":false,"Identity":"27-1-60","IsNew":false,"SubSections":[{"Level":1,"Identity":"T27C1N60SA","SubSectionBookmarkName":"ss_T27C1N60SA_lv1_1f77cbfe3","IsNewSubSection":false},{"Level":1,"Identity":"T27C1N60SB","SubSectionBookmarkName":"ss_T27C1N60SB_lv1_a77a53e68","IsNewSubSection":false},{"Level":2,"Identity":"T27C1N60S1","SubSectionBookmarkName":"ss_T27C1N60S1_lv2_d8b397e64","IsNewSubSection":false},{"Level":2,"Identity":"T27C1N60S2","SubSectionBookmarkName":"ss_T27C1N60S2_lv2_856d869b8","IsNewSubSection":false},{"Level":2,"Identity":"T27C1N60S3","SubSectionBookmarkName":"ss_T27C1N60S3_lv2_d4f887acb","IsNewSubSection":false},{"Level":1,"Identity":"T27C1N60SC","SubSectionBookmarkName":"ss_T27C1N60SC_lv1_d08782a34","IsNewSubSection":false},{"Level":2,"Identity":"T27C1N60S1","SubSectionBookmarkName":"ss_T27C1N60S1_lv2_53559bb0f","IsNewSubSection":false},{"Level":2,"Identity":"T27C1N60S2","SubSectionBookmarkName":"ss_T27C1N60S2_lv2_b3a95f09a","IsNewSubSection":false},{"Level":2,"Identity":"T27C1N60S3","SubSectionBookmarkName":"ss_T27C1N60S3_lv2_c86e96385","IsNewSubSection":false},{"Level":2,"Identity":"T27C1N60S4","SubSectionBookmarkName":"ss_T27C1N60S4_lv2_51b111b87","IsNewSubSection":false}],"TitleRelatedTo":"Right of homeowner or tenant to fly United States flag; restrictive covenants and rental agreements; definitions.","TitleSoAsTo":"","Deleted":false}],"TitleText":"","DisableControls":false,"Deleted":false,"RepealItems":[],"SectionBookmarkName":"bs_num_1_b587465f6"},{"SectionUUID":"09056bea-8bf4-4ce8-9701-b22c41cce52c","SectionName":"standard_eff_date_section","SectionNumber":2,"SectionType":"drafting_clause","CodeSections":[],"TitleText":"","DisableControls":false,"Deleted":false,"RepealItems":[],"SectionBookmarkName":"bs_num_2_lastsection"}],"Timestamp":"2023-01-19T13:43:31.9458309-05:00","Username":null},{"Id":1,"SectionsList":[{"SectionUUID":"2c8e56ec-8bdc-4d40-94ef-b6a93cbcd30e","SectionName":"code_section","SectionNumber":1,"SectionType":"code_section","CodeSections":[{"CodeSectionBookmarkName":"cs_T27C1N60_26d557a6e","IsConstitutionSection":false,"Identity":"27-1-60","IsNew":false,"SubSections":[],"TitleRelatedTo":"Right of homeowner or tenant to fly United States flag; restrictive covenants and rental agreements; definitions.","TitleSoAsTo":"","Deleted":false}],"TitleText":"","DisableControls":false,"Deleted":false,"RepealItems":[],"SectionBookmarkName":"bs_num_1_b587465f6"},{"SectionUUID":"09056bea-8bf4-4ce8-9701-b22c41cce52c","SectionName":"standard_eff_date_section","SectionNumber":2,"SectionType":"drafting_clause","CodeSections":[],"TitleText":"","DisableControls":false,"Deleted":false,"RepealItems":[],"SectionBookmarkName":"bs_num_2_lastsection"}],"Timestamp":"2023-01-19T12:02:34.9966508-05:00","Username":null},{"Id":3,"SectionsList":[{"SectionUUID":"2c8e56ec-8bdc-4d40-94ef-b6a93cbcd30e","SectionName":"code_section","SectionNumber":1,"SectionType":"code_section","CodeSections":[{"CodeSectionBookmarkName":"cs_T27C1N60_26d557a6e","IsConstitutionSection":false,"Identity":"27-1-60","IsNew":false,"SubSections":[{"Level":1,"Identity":"T27C1N60SA","SubSectionBookmarkName":"ss_T27C1N60SA_lv1_1f77cbfe3","IsNewSubSection":false},{"Level":1,"Identity":"T27C1N60SB","SubSectionBookmarkName":"ss_T27C1N60SB_lv1_a77a53e68","IsNewSubSection":false},{"Level":2,"Identity":"T27C1N60S1","SubSectionBookmarkName":"ss_T27C1N60S1_lv2_d8b397e64","IsNewSubSection":false},{"Level":2,"Identity":"T27C1N60S1","SubSectionBookmarkName":"ss_T27C1N60S1_lv2_fb0766d9a","IsNewSubSection":false},{"Level":2,"Identity":"T27C1N60S2","SubSectionBookmarkName":"ss_T27C1N60S2_lv2_856d869b8","IsNewSubSection":false},{"Level":2,"Identity":"T27C1N60S3","SubSectionBookmarkName":"ss_T27C1N60S3_lv2_d4f887acb","IsNewSubSection":false},{"Level":1,"Identity":"T27C1N60SC","SubSectionBookmarkName":"ss_T27C1N60SC_lv1_d08782a34","IsNewSubSection":false},{"Level":2,"Identity":"T27C1N60S1","SubSectionBookmarkName":"ss_T27C1N60S1_lv2_53559bb0f","IsNewSubSection":false},{"Level":2,"Identity":"T27C1N60S2","SubSectionBookmarkName":"ss_T27C1N60S2_lv2_b3a95f09a","IsNewSubSection":false},{"Level":2,"Identity":"T27C1N60S3","SubSectionBookmarkName":"ss_T27C1N60S3_lv2_c86e96385","IsNewSubSection":false},{"Level":2,"Identity":"T27C1N60S4","SubSectionBookmarkName":"ss_T27C1N60S4_lv2_51b111b87","IsNewSubSection":false}],"TitleRelatedTo":"Right of homeowner or tenant to fly United States flag; restrictive covenants and rental agreements; definitions.","TitleSoAsTo":"","Deleted":false}],"TitleText":"","DisableControls":false,"Deleted":false,"RepealItems":[],"SectionBookmarkName":"bs_num_1_b587465f6"},{"SectionUUID":"09056bea-8bf4-4ce8-9701-b22c41cce52c","SectionName":"standard_eff_date_section","SectionNumber":2,"SectionType":"drafting_clause","CodeSections":[],"TitleText":"","DisableControls":false,"Deleted":false,"RepealItems":[],"SectionBookmarkName":"bs_num_2_lastsection"}],"Timestamp":"2023-01-19T14:49:12.1934079-05:00","Username":"chrischarlton@scstatehouse.gov"}]</T_BILL_T_SECTIONSHISTORY>
  <T_BILL_T_SUBJECT>United States Flag</T_BILL_T_SUBJECT>
  <T_BILL_UR_DRAFTER>samanthaallen@scstatehouse.gov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3147</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2023-01-19T19:43:00Z</cp:lastPrinted>
  <dcterms:created xsi:type="dcterms:W3CDTF">2023-06-26T13:47:00Z</dcterms:created>
  <dcterms:modified xsi:type="dcterms:W3CDTF">2023-06-26T13:47:00Z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