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Dillard, Hyde, Henegan, Oremus, Taylor and Pendarvis</w:t>
      </w:r>
    </w:p>
    <w:p>
      <w:pPr>
        <w:widowControl w:val="false"/>
        <w:spacing w:after="0"/>
        <w:jc w:val="left"/>
      </w:pPr>
      <w:r>
        <w:rPr>
          <w:rFonts w:ascii="Times New Roman"/>
          <w:sz w:val="22"/>
        </w:rPr>
        <w:t xml:space="preserve">Document Path: LC-0409SA24.docx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Abandoned Buildings Revitalization Act extension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4618dcec29947d3">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6de9d674623642f4">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Pendarvis
 </w:t>
      </w:r>
    </w:p>
    <w:p>
      <w:pPr>
        <w:widowControl w:val="false"/>
        <w:spacing w:after="0"/>
        <w:jc w:val="left"/>
      </w:pPr>
    </w:p>
    <w:p>
      <w:pPr>
        <w:widowControl w:val="false"/>
        <w:spacing w:after="0"/>
        <w:jc w:val="left"/>
      </w:pPr>
      <w:r>
        <w:rPr>
          <w:rFonts w:ascii="Times New Roman"/>
          <w:sz w:val="22"/>
        </w:rPr>
        <w:t xml:space="preserve">View the latest </w:t>
      </w:r>
      <w:hyperlink r:id="R81c8da5c537640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d07c9eb81744aa">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92017" w:rsidRDefault="00432135" w14:paraId="47642A99" w14:textId="24A173CB">
      <w:pPr>
        <w:pStyle w:val="scemptylineheader"/>
      </w:pPr>
    </w:p>
    <w:p w:rsidRPr="00BB0725" w:rsidR="00A73EFA" w:rsidP="00492017" w:rsidRDefault="00A73EFA" w14:paraId="7B72410E" w14:textId="60E3EE16">
      <w:pPr>
        <w:pStyle w:val="scemptylineheader"/>
      </w:pPr>
    </w:p>
    <w:p w:rsidRPr="00BB0725" w:rsidR="00A73EFA" w:rsidP="00492017" w:rsidRDefault="00A73EFA" w14:paraId="6AD935C9" w14:textId="2331BCCD">
      <w:pPr>
        <w:pStyle w:val="scemptylineheader"/>
      </w:pPr>
    </w:p>
    <w:p w:rsidRPr="00DF3B44" w:rsidR="00A73EFA" w:rsidP="00492017" w:rsidRDefault="00A73EFA" w14:paraId="51A98227" w14:textId="4624D326">
      <w:pPr>
        <w:pStyle w:val="scemptylineheader"/>
      </w:pPr>
    </w:p>
    <w:p w:rsidRPr="00DF3B44" w:rsidR="00A73EFA" w:rsidP="00492017" w:rsidRDefault="00A73EFA" w14:paraId="3858851A" w14:textId="0DC52802">
      <w:pPr>
        <w:pStyle w:val="scemptylineheader"/>
      </w:pPr>
    </w:p>
    <w:p w:rsidRPr="00DF3B44" w:rsidR="00A73EFA" w:rsidP="00492017" w:rsidRDefault="00A73EFA" w14:paraId="4E3DDE20" w14:textId="5F9C87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C18D0" w14:paraId="40FEFADA" w14:textId="05F9E272">
          <w:pPr>
            <w:pStyle w:val="scbilltitle"/>
            <w:tabs>
              <w:tab w:val="left" w:pos="2104"/>
            </w:tabs>
          </w:pPr>
          <w:r>
            <w:t xml:space="preserve">TO AMEND THE SOUTH CAROLINA CODE OF LAWS SO AS TO EXTEND THE PROVISIONS OF THE SOUTH CAROLINA ABANDONED BUILDINGS REVITALIZATION ACT, AS CONTAINED IN CHAPTER 67, TITLE 12 OF THE </w:t>
          </w:r>
          <w:r w:rsidR="00AB7348">
            <w:t>S</w:t>
          </w:r>
          <w:r w:rsidR="005936D6">
            <w:t>.</w:t>
          </w:r>
          <w:r w:rsidR="00AB7348">
            <w:t>C.</w:t>
          </w:r>
          <w:r>
            <w:t xml:space="preserve"> CODE, UNTIL DECEMBER 31, 2035; AND BY AMENDING SECTION 12‑67‑140, RELATING TO THE ELIGIBILITY OF THE ABANDONED BUILDINGS REVITALIZATION TAX CREDIT SO AS TO PROVIDE THAT THE MAXIMUM CREDIT AMOUNT MUST BE REVIEWED ANNUALLY.</w:t>
          </w:r>
        </w:p>
      </w:sdtContent>
    </w:sdt>
    <w:bookmarkStart w:name="at_2630321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3473fee" w:id="1"/>
      <w:r w:rsidRPr="0094541D">
        <w:t>B</w:t>
      </w:r>
      <w:bookmarkEnd w:id="1"/>
      <w:r w:rsidRPr="0094541D">
        <w:t>e it enacted by the General Assembly of the State of South Carolina:</w:t>
      </w:r>
    </w:p>
    <w:p w:rsidR="00AB0B2C" w:rsidP="00AB0B2C" w:rsidRDefault="00AB0B2C" w14:paraId="133AD85A" w14:textId="77777777">
      <w:pPr>
        <w:pStyle w:val="scemptyline"/>
      </w:pPr>
    </w:p>
    <w:p w:rsidR="00AB0B2C" w:rsidP="00163717" w:rsidRDefault="00AB0B2C" w14:paraId="0C2E3175" w14:textId="77CF70E4">
      <w:pPr>
        <w:pStyle w:val="scnoncodifiedsection"/>
      </w:pPr>
      <w:bookmarkStart w:name="bs_num_1_8aaa332e1" w:id="2"/>
      <w:r>
        <w:t>S</w:t>
      </w:r>
      <w:bookmarkEnd w:id="2"/>
      <w:r>
        <w:t>ECTION 1.</w:t>
      </w:r>
      <w:r>
        <w:tab/>
      </w:r>
      <w:r w:rsidR="000816A5">
        <w:t>Notwithstanding SECTION 1 of Act 21 of 2021, the provisions of Chapter 67, Title 12 are repealed on December 31, 2035.</w:t>
      </w:r>
    </w:p>
    <w:p w:rsidR="000816A5" w:rsidP="000816A5" w:rsidRDefault="000816A5" w14:paraId="76D5AD38" w14:textId="77777777">
      <w:pPr>
        <w:pStyle w:val="scemptyline"/>
      </w:pPr>
    </w:p>
    <w:p w:rsidR="00BC60EE" w:rsidP="00BC60EE" w:rsidRDefault="000816A5" w14:paraId="1E9D24E7" w14:textId="02D21779">
      <w:pPr>
        <w:pStyle w:val="scdirectionallanguage"/>
      </w:pPr>
      <w:bookmarkStart w:name="bs_num_2_399b1dae7" w:id="3"/>
      <w:r>
        <w:t>S</w:t>
      </w:r>
      <w:bookmarkEnd w:id="3"/>
      <w:r>
        <w:t>ECTION 2.</w:t>
      </w:r>
      <w:r>
        <w:tab/>
      </w:r>
      <w:bookmarkStart w:name="dl_aa0ab8e4b" w:id="4"/>
      <w:r w:rsidR="00BC60EE">
        <w:t>S</w:t>
      </w:r>
      <w:bookmarkEnd w:id="4"/>
      <w:r w:rsidR="00BC60EE">
        <w:t>ection 12‑67‑140</w:t>
      </w:r>
      <w:r w:rsidR="00C34C92">
        <w:t>(B)(3)</w:t>
      </w:r>
      <w:r w:rsidR="00BC60EE">
        <w:t xml:space="preserve"> of the S.C. Code is amended by adding:</w:t>
      </w:r>
    </w:p>
    <w:p w:rsidR="00BC60EE" w:rsidP="00BC60EE" w:rsidRDefault="00BC60EE" w14:paraId="6E2758BE" w14:textId="77777777">
      <w:pPr>
        <w:pStyle w:val="scemptyline"/>
      </w:pPr>
    </w:p>
    <w:p w:rsidR="000816A5" w:rsidP="00BC60EE" w:rsidRDefault="00BC60EE" w14:paraId="4139EA3A" w14:textId="30CC755E">
      <w:pPr>
        <w:pStyle w:val="scnewcodesection"/>
      </w:pPr>
      <w:bookmarkStart w:name="ns_T12C67N140_df5a081ac" w:id="5"/>
      <w:r>
        <w:tab/>
      </w:r>
      <w:bookmarkStart w:name="ss_T12C67N140Sc_lv1_3d0a6b5d8" w:id="6"/>
      <w:bookmarkEnd w:id="5"/>
      <w:r>
        <w:t>(</w:t>
      </w:r>
      <w:bookmarkEnd w:id="6"/>
      <w:r>
        <w:t xml:space="preserve">c) </w:t>
      </w:r>
      <w:r w:rsidRPr="00C34C92" w:rsidR="00C34C92">
        <w:t xml:space="preserve">On an annual basis, the maximum credit amount listed in </w:t>
      </w:r>
      <w:r w:rsidR="00C34C92">
        <w:t xml:space="preserve">subitem </w:t>
      </w:r>
      <w:r w:rsidRPr="00C34C92" w:rsidR="00C34C92">
        <w:t xml:space="preserve">(b) </w:t>
      </w:r>
      <w:r w:rsidR="00C34C92">
        <w:t>must</w:t>
      </w:r>
      <w:r w:rsidRPr="00C34C92" w:rsidR="00C34C92">
        <w:t xml:space="preserve"> be reviewed to determine if the </w:t>
      </w:r>
      <w:r w:rsidR="00C34C92">
        <w:t xml:space="preserve">entire </w:t>
      </w:r>
      <w:r w:rsidRPr="00C34C92" w:rsidR="00C34C92">
        <w:t xml:space="preserve">credit earned should be increased. By January </w:t>
      </w:r>
      <w:r w:rsidR="00C34C92">
        <w:t>thirty‑first</w:t>
      </w:r>
      <w:r w:rsidRPr="00C34C92" w:rsidR="00C34C92">
        <w:t xml:space="preserve"> of </w:t>
      </w:r>
      <w:r w:rsidR="00C34C92">
        <w:t>each</w:t>
      </w:r>
      <w:r w:rsidRPr="00C34C92" w:rsidR="00C34C92">
        <w:t xml:space="preserve"> calendar year, the Revenue and Fiscal Affairs Office </w:t>
      </w:r>
      <w:r w:rsidR="00C34C92">
        <w:t>shall</w:t>
      </w:r>
      <w:r w:rsidRPr="00C34C92" w:rsidR="00C34C92">
        <w:t xml:space="preserve"> determine the increase or decrease in the ratio of the Consumer Price Index to the index as of December </w:t>
      </w:r>
      <w:r w:rsidR="00C34C92">
        <w:t>thirty‑first</w:t>
      </w:r>
      <w:r w:rsidRPr="00C34C92" w:rsidR="00C34C92">
        <w:t xml:space="preserve"> of the previous year</w:t>
      </w:r>
      <w:r w:rsidR="00C34C92">
        <w:t>,</w:t>
      </w:r>
      <w:r w:rsidRPr="00C34C92" w:rsidR="00C34C92">
        <w:t xml:space="preserve"> and the threshold must be increased accordingly. If the average of the twelve‑month consumer price index experiences a negative percentage, the average is </w:t>
      </w:r>
      <w:r w:rsidR="00C34C92">
        <w:t>considered</w:t>
      </w:r>
      <w:r w:rsidRPr="00C34C92" w:rsidR="00C34C92">
        <w:t xml:space="preserve"> to be zero. For the purposes of this </w:t>
      </w:r>
      <w:r w:rsidR="00C34C92">
        <w:t>subitem</w:t>
      </w:r>
      <w:r w:rsidRPr="00C34C92" w:rsidR="00C34C92">
        <w:t>, “Consumer Price Index” means the Consumer Price Index for All Urban Consumers as published by the United States Department of Labor, Bureau of Labor Statistics.</w:t>
      </w:r>
    </w:p>
    <w:p w:rsidRPr="00DF3B44" w:rsidR="007E06BB" w:rsidP="00787433" w:rsidRDefault="007E06BB" w14:paraId="3D8F1FED" w14:textId="7E634423">
      <w:pPr>
        <w:pStyle w:val="scemptyline"/>
      </w:pPr>
    </w:p>
    <w:p w:rsidRPr="00DF3B44" w:rsidR="007A10F1" w:rsidP="007A10F1" w:rsidRDefault="00E27805" w14:paraId="0E9393B4" w14:textId="3A662836">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2E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96CE52" w:rsidR="00685035" w:rsidRPr="007B4AF7" w:rsidRDefault="00C12E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0B2C">
              <w:rPr>
                <w:noProof/>
              </w:rPr>
              <w:t>LC-0409SA24.docx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6A5"/>
    <w:rsid w:val="000A3C25"/>
    <w:rsid w:val="000B2274"/>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717"/>
    <w:rsid w:val="00171601"/>
    <w:rsid w:val="001730EB"/>
    <w:rsid w:val="00173276"/>
    <w:rsid w:val="00177BC2"/>
    <w:rsid w:val="0019025B"/>
    <w:rsid w:val="00192AF7"/>
    <w:rsid w:val="00197366"/>
    <w:rsid w:val="001A136C"/>
    <w:rsid w:val="001A30CB"/>
    <w:rsid w:val="001B6DA2"/>
    <w:rsid w:val="001C25EC"/>
    <w:rsid w:val="001F2A41"/>
    <w:rsid w:val="001F313F"/>
    <w:rsid w:val="001F331D"/>
    <w:rsid w:val="001F394C"/>
    <w:rsid w:val="002038AA"/>
    <w:rsid w:val="002114C8"/>
    <w:rsid w:val="0021166F"/>
    <w:rsid w:val="00215366"/>
    <w:rsid w:val="002162DF"/>
    <w:rsid w:val="00230038"/>
    <w:rsid w:val="00233975"/>
    <w:rsid w:val="00236D73"/>
    <w:rsid w:val="00251229"/>
    <w:rsid w:val="002522C6"/>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34D"/>
    <w:rsid w:val="003421F1"/>
    <w:rsid w:val="0034279C"/>
    <w:rsid w:val="00354F64"/>
    <w:rsid w:val="003559A1"/>
    <w:rsid w:val="003571C9"/>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95A"/>
    <w:rsid w:val="00492017"/>
    <w:rsid w:val="004932AB"/>
    <w:rsid w:val="00494BEF"/>
    <w:rsid w:val="004A5512"/>
    <w:rsid w:val="004A6BE5"/>
    <w:rsid w:val="004B0C18"/>
    <w:rsid w:val="004B75B8"/>
    <w:rsid w:val="004C1A04"/>
    <w:rsid w:val="004C2018"/>
    <w:rsid w:val="004C20BC"/>
    <w:rsid w:val="004C5C9A"/>
    <w:rsid w:val="004D0660"/>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6D6"/>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AFA"/>
    <w:rsid w:val="006454BB"/>
    <w:rsid w:val="00657CF4"/>
    <w:rsid w:val="00663B8D"/>
    <w:rsid w:val="00663E00"/>
    <w:rsid w:val="00664F48"/>
    <w:rsid w:val="00664FAD"/>
    <w:rsid w:val="0067345B"/>
    <w:rsid w:val="0067728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5405"/>
    <w:rsid w:val="007A10F1"/>
    <w:rsid w:val="007A3D50"/>
    <w:rsid w:val="007B2D29"/>
    <w:rsid w:val="007B412F"/>
    <w:rsid w:val="007B4AF7"/>
    <w:rsid w:val="007B4DBF"/>
    <w:rsid w:val="007C18D0"/>
    <w:rsid w:val="007C5458"/>
    <w:rsid w:val="007D2C67"/>
    <w:rsid w:val="007E06BB"/>
    <w:rsid w:val="007F50D1"/>
    <w:rsid w:val="00816D52"/>
    <w:rsid w:val="00831048"/>
    <w:rsid w:val="00834272"/>
    <w:rsid w:val="008625C1"/>
    <w:rsid w:val="008806F9"/>
    <w:rsid w:val="00886D78"/>
    <w:rsid w:val="008A57E3"/>
    <w:rsid w:val="008B5BF4"/>
    <w:rsid w:val="008C0CEE"/>
    <w:rsid w:val="008C1B18"/>
    <w:rsid w:val="008C6807"/>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4D8"/>
    <w:rsid w:val="009B35FD"/>
    <w:rsid w:val="009B6815"/>
    <w:rsid w:val="009D2967"/>
    <w:rsid w:val="009D3C2B"/>
    <w:rsid w:val="009D513F"/>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139"/>
    <w:rsid w:val="00A73EFA"/>
    <w:rsid w:val="00A77A3B"/>
    <w:rsid w:val="00A92F6F"/>
    <w:rsid w:val="00A97523"/>
    <w:rsid w:val="00AB0B2C"/>
    <w:rsid w:val="00AB0FA3"/>
    <w:rsid w:val="00AB2E65"/>
    <w:rsid w:val="00AB7348"/>
    <w:rsid w:val="00AB73BF"/>
    <w:rsid w:val="00AC335C"/>
    <w:rsid w:val="00AC463E"/>
    <w:rsid w:val="00AD3BE2"/>
    <w:rsid w:val="00AD3E3D"/>
    <w:rsid w:val="00AE1EE4"/>
    <w:rsid w:val="00AE36EC"/>
    <w:rsid w:val="00AF1688"/>
    <w:rsid w:val="00AF41CD"/>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0EE"/>
    <w:rsid w:val="00BC7804"/>
    <w:rsid w:val="00BD42DA"/>
    <w:rsid w:val="00BD4684"/>
    <w:rsid w:val="00BE08A7"/>
    <w:rsid w:val="00BE4391"/>
    <w:rsid w:val="00BF0D0C"/>
    <w:rsid w:val="00BF3E48"/>
    <w:rsid w:val="00BF6E4D"/>
    <w:rsid w:val="00C12EDA"/>
    <w:rsid w:val="00C15F1B"/>
    <w:rsid w:val="00C16288"/>
    <w:rsid w:val="00C17D1D"/>
    <w:rsid w:val="00C34C92"/>
    <w:rsid w:val="00C45923"/>
    <w:rsid w:val="00C543E7"/>
    <w:rsid w:val="00C70225"/>
    <w:rsid w:val="00C72198"/>
    <w:rsid w:val="00C73C7D"/>
    <w:rsid w:val="00C75005"/>
    <w:rsid w:val="00C970DF"/>
    <w:rsid w:val="00CA7E71"/>
    <w:rsid w:val="00CB2673"/>
    <w:rsid w:val="00CB2E2C"/>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2A74"/>
    <w:rsid w:val="00D54A6F"/>
    <w:rsid w:val="00D57D57"/>
    <w:rsid w:val="00D62E42"/>
    <w:rsid w:val="00D772FB"/>
    <w:rsid w:val="00D903C3"/>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896"/>
    <w:rsid w:val="00ED452E"/>
    <w:rsid w:val="00EE3CDA"/>
    <w:rsid w:val="00EE55B1"/>
    <w:rsid w:val="00EF37A8"/>
    <w:rsid w:val="00EF531F"/>
    <w:rsid w:val="00EF78E1"/>
    <w:rsid w:val="00F0155F"/>
    <w:rsid w:val="00F05FE8"/>
    <w:rsid w:val="00F13D87"/>
    <w:rsid w:val="00F149E5"/>
    <w:rsid w:val="00F15E33"/>
    <w:rsid w:val="00F17DA2"/>
    <w:rsid w:val="00F22EC0"/>
    <w:rsid w:val="00F27D7B"/>
    <w:rsid w:val="00F31D34"/>
    <w:rsid w:val="00F342A1"/>
    <w:rsid w:val="00F36FBA"/>
    <w:rsid w:val="00F44D36"/>
    <w:rsid w:val="00F45C67"/>
    <w:rsid w:val="00F46262"/>
    <w:rsid w:val="00F4795D"/>
    <w:rsid w:val="00F50A61"/>
    <w:rsid w:val="00F525CD"/>
    <w:rsid w:val="00F5286C"/>
    <w:rsid w:val="00F52E12"/>
    <w:rsid w:val="00F638CA"/>
    <w:rsid w:val="00F8307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7&amp;session=125&amp;summary=B" TargetMode="External" Id="R81c8da5c53764044" /><Relationship Type="http://schemas.openxmlformats.org/officeDocument/2006/relationships/hyperlink" Target="https://www.scstatehouse.gov/sess125_2023-2024/prever/4547_20231116.docx" TargetMode="External" Id="Re0d07c9eb81744aa" /><Relationship Type="http://schemas.openxmlformats.org/officeDocument/2006/relationships/hyperlink" Target="h:\hj\20240109.docx" TargetMode="External" Id="R24618dcec29947d3" /><Relationship Type="http://schemas.openxmlformats.org/officeDocument/2006/relationships/hyperlink" Target="h:\hj\20240109.docx" TargetMode="External" Id="R6de9d674623642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e54d2029-baef-4daa-991d-b2aa09213455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a1f697cf-80eb-48e5-91b8-348f1f80a41f</T_BILL_REQUEST_REQUEST>
  <T_BILL_R_ORIGINALDRAFT>ed239009-b135-44f9-b275-076e1e639d33</T_BILL_R_ORIGINALDRAFT>
  <T_BILL_SPONSOR_SPONSOR>f949017d-22cd-47f8-8851-cea9e714f6a6</T_BILL_SPONSOR_SPONSOR>
  <T_BILL_T_BILLNAME>[4547]</T_BILL_T_BILLNAME>
  <T_BILL_T_BILLNUMBER>4547</T_BILL_T_BILLNUMBER>
  <T_BILL_T_BILLTITLE>TO AMEND THE SOUTH CAROLINA CODE OF LAWS SO AS TO EXTEND THE PROVISIONS OF THE SOUTH CAROLINA ABANDONED BUILDINGS REVITALIZATION ACT, AS CONTAINED IN CHAPTER 67, TITLE 12 OF THE S.C. CODE, UNTIL DECEMBER 31, 2035; AND BY AMENDING SECTION 12‑67‑140, RELATING TO THE ELIGIBILITY OF THE ABANDONED BUILDINGS REVITALIZATION TAX CREDIT SO AS TO PROVIDE THAT THE MAXIMUM CREDIT AMOUNT MUST BE REVIEWED ANNUALLY.</T_BILL_T_BILLTITLE>
  <T_BILL_T_CHAMBER>house</T_BILL_T_CHAMBER>
  <T_BILL_T_FILENAME> </T_BILL_T_FILENAME>
  <T_BILL_T_LEGTYPE>bill_statewide</T_BILL_T_LEGTYPE>
  <T_BILL_T_SECTIONS>[{"SectionUUID":"80a71700-5175-47dd-bfd3-5eae06a1a610","SectionName":"New Blank SECTION","SectionNumber":1,"SectionType":"new","CodeSections":[],"TitleText":"so as to EXTEND THE PROVISIONS OF THE SOUTH CAROLINA ABANDONED BUILDINGS REVITALIZATION ACT, AS CONTAINED IN CHAPTER 67, TITLE 12 OF THE 1976 CODE, UNTIL DECEMBER 31, 2035","DisableControls":false,"Deleted":false,"RepealItems":[],"SectionBookmarkName":"bs_num_1_8aaa332e1"},{"SectionUUID":"5c495f45-4cf0-4838-bf58-b132fd671ab9","SectionName":"code_section","SectionNumber":2,"SectionType":"code_section","CodeSections":[{"CodeSectionBookmarkName":"ns_T12C67N140_df5a081ac","IsConstitutionSection":false,"Identity":"12-67-140","IsNew":true,"SubSections":[{"Level":1,"Identity":"T12C67N140Sc","SubSectionBookmarkName":"ss_T12C67N140Sc_lv1_3d0a6b5d8","IsNewSubSection":true,"SubSectionReplacement":""}],"TitleRelatedTo":"the eligibility of the abandoned buildings revitalization tax credit","TitleSoAsTo":"provide that the maximum credit amount must be reviewed annually","Deleted":false}],"TitleText":"","DisableControls":false,"Deleted":false,"RepealItems":[],"SectionBookmarkName":"bs_num_2_399b1dae7"},{"SectionUUID":"8f03ca95-8faa-4d43-a9c2-8afc498075bd","SectionName":"standard_eff_date_section","SectionNumber":3,"SectionType":"drafting_clause","CodeSections":[],"TitleText":"","DisableControls":false,"Deleted":false,"RepealItems":[],"SectionBookmarkName":"bs_num_3_lastsection"}]</T_BILL_T_SECTIONS>
  <T_BILL_T_SUBJECT>Abandoned Buildings Revitalization Act extension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1288</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2023-11-14T17:06:00Z</cp:lastPrinted>
  <dcterms:created xsi:type="dcterms:W3CDTF">2023-11-14T17:06:00Z</dcterms:created>
  <dcterms:modified xsi:type="dcterms:W3CDTF">2023-11-14T17:06:00Z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