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Bernstein, Rose, Clyburn, Mitchell, Yow and Pope</w:t>
      </w:r>
    </w:p>
    <w:p>
      <w:pPr>
        <w:widowControl w:val="false"/>
        <w:spacing w:after="0"/>
        <w:jc w:val="left"/>
      </w:pPr>
      <w:r>
        <w:rPr>
          <w:rFonts w:ascii="Times New Roman"/>
          <w:sz w:val="22"/>
        </w:rPr>
        <w:t xml:space="preserve">Companion/Similar bill(s): 845, 850, 869</w:t>
      </w:r>
    </w:p>
    <w:p>
      <w:pPr>
        <w:widowControl w:val="false"/>
        <w:spacing w:after="0"/>
        <w:jc w:val="left"/>
      </w:pPr>
      <w:r>
        <w:rPr>
          <w:rFonts w:ascii="Times New Roman"/>
          <w:sz w:val="22"/>
        </w:rPr>
        <w:t xml:space="preserve">Document Path: LC-0189HA24.docx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March 27,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Probate Representative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ac926a90191148d4">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9ed6f591670b4df0">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3/20/2024</w:t>
      </w:r>
      <w:r>
        <w:tab/>
        <w:t>House</w:t>
      </w:r>
      <w:r>
        <w:tab/>
        <w:t>Member(s) request name added as sponsor: Mitchell, Yow
 </w:t>
      </w:r>
    </w:p>
    <w:p>
      <w:pPr>
        <w:widowControl w:val="false"/>
        <w:tabs>
          <w:tab w:val="right" w:pos="1008"/>
          <w:tab w:val="left" w:pos="1152"/>
          <w:tab w:val="left" w:pos="1872"/>
          <w:tab w:val="left" w:pos="9187"/>
        </w:tabs>
        <w:spacing w:after="0"/>
        <w:ind w:left="2088" w:hanging="2088"/>
      </w:pPr>
      <w:r>
        <w:tab/>
        <w:t>3/20/2024</w:t>
      </w:r>
      <w:r>
        <w:tab/>
        <w:t>House</w:t>
      </w:r>
      <w:r>
        <w:tab/>
        <w:t xml:space="preserve">Committee report: Favorable</w:t>
      </w:r>
      <w:r>
        <w:rPr>
          <w:b/>
        </w:rPr>
        <w:t xml:space="preserve"> Judiciary</w:t>
      </w:r>
      <w:r>
        <w:t xml:space="preserve"> (</w:t>
      </w:r>
      <w:hyperlink w:history="true" r:id="R75742e93f8fd4221">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3/21/2024</w:t>
      </w:r>
      <w:r>
        <w:tab/>
        <w:t/>
      </w:r>
      <w:r>
        <w:tab/>
        <w:t>Scrivener's error corrected
 </w:t>
      </w:r>
    </w:p>
    <w:p>
      <w:pPr>
        <w:widowControl w:val="false"/>
        <w:tabs>
          <w:tab w:val="right" w:pos="1008"/>
          <w:tab w:val="left" w:pos="1152"/>
          <w:tab w:val="left" w:pos="1872"/>
          <w:tab w:val="left" w:pos="9187"/>
        </w:tabs>
        <w:spacing w:after="0"/>
        <w:ind w:left="2088" w:hanging="2088"/>
      </w:pPr>
      <w:r>
        <w:tab/>
        <w:t>3/26/2024</w:t>
      </w:r>
      <w:r>
        <w:tab/>
        <w:t>House</w:t>
      </w:r>
      <w:r>
        <w:tab/>
        <w:t>Member(s) request name added as sponsor: Pope
 </w:t>
      </w:r>
    </w:p>
    <w:p>
      <w:pPr>
        <w:widowControl w:val="false"/>
        <w:tabs>
          <w:tab w:val="right" w:pos="1008"/>
          <w:tab w:val="left" w:pos="1152"/>
          <w:tab w:val="left" w:pos="1872"/>
          <w:tab w:val="left" w:pos="9187"/>
        </w:tabs>
        <w:spacing w:after="0"/>
        <w:ind w:left="2088" w:hanging="2088"/>
      </w:pPr>
      <w:r>
        <w:tab/>
        <w:t>3/26/2024</w:t>
      </w:r>
      <w:r>
        <w:tab/>
        <w:t>House</w:t>
      </w:r>
      <w:r>
        <w:tab/>
        <w:t xml:space="preserve">Read second time</w:t>
      </w:r>
      <w:r>
        <w:t xml:space="preserve"> (</w:t>
      </w:r>
      <w:hyperlink w:history="true" r:id="R5b3b9d839fe74329">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Roll call</w:t>
      </w:r>
      <w:r>
        <w:t xml:space="preserve"> Yeas-115  Nays-0</w:t>
      </w:r>
      <w:r>
        <w:t xml:space="preserve"> (</w:t>
      </w:r>
      <w:hyperlink w:history="true" r:id="R26ef1a93f90d4ad1">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Read third time and sent to Senate</w:t>
      </w:r>
      <w:r>
        <w:t xml:space="preserve"> (</w:t>
      </w:r>
      <w:hyperlink w:history="true" r:id="Ra63eb343119f4be2">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Introduced and read first time</w:t>
      </w:r>
      <w:r>
        <w:t xml:space="preserve"> (</w:t>
      </w:r>
      <w:hyperlink w:history="true" r:id="R014c7bd9de8c4ef7">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Referred to Committee on</w:t>
      </w:r>
      <w:r>
        <w:rPr>
          <w:b/>
        </w:rPr>
        <w:t xml:space="preserve"> Judiciary</w:t>
      </w:r>
      <w:r>
        <w:t xml:space="preserve"> (</w:t>
      </w:r>
      <w:hyperlink w:history="true" r:id="R14d9098369434fee">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a69bf161cc94e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ddcf3d085243ef">
        <w:r>
          <w:rPr>
            <w:rStyle w:val="Hyperlink"/>
            <w:u w:val="single"/>
          </w:rPr>
          <w:t>11/16/2023</w:t>
        </w:r>
      </w:hyperlink>
      <w:r>
        <w:t xml:space="preserve"/>
      </w:r>
    </w:p>
    <w:p>
      <w:pPr>
        <w:widowControl w:val="true"/>
        <w:spacing w:after="0"/>
        <w:jc w:val="left"/>
      </w:pPr>
      <w:r>
        <w:rPr>
          <w:rFonts w:ascii="Times New Roman"/>
          <w:sz w:val="22"/>
        </w:rPr>
        <w:t xml:space="preserve"/>
      </w:r>
      <w:hyperlink r:id="Rf21ff3600026406f">
        <w:r>
          <w:rPr>
            <w:rStyle w:val="Hyperlink"/>
            <w:u w:val="single"/>
          </w:rPr>
          <w:t>03/20/2024</w:t>
        </w:r>
      </w:hyperlink>
      <w:r>
        <w:t xml:space="preserve"/>
      </w:r>
    </w:p>
    <w:p>
      <w:pPr>
        <w:widowControl w:val="true"/>
        <w:spacing w:after="0"/>
        <w:jc w:val="left"/>
      </w:pPr>
      <w:r>
        <w:rPr>
          <w:rFonts w:ascii="Times New Roman"/>
          <w:sz w:val="22"/>
        </w:rPr>
        <w:t xml:space="preserve"/>
      </w:r>
      <w:hyperlink r:id="Raac64e8c50154abc">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257A9" w:rsidP="005257A9" w:rsidRDefault="005257A9" w14:paraId="0483C4B6" w14:textId="77777777">
      <w:pPr>
        <w:pStyle w:val="sccoversheetstricken"/>
      </w:pPr>
      <w:r w:rsidRPr="00B07BF4">
        <w:t>Indicates Matter Stricken</w:t>
      </w:r>
    </w:p>
    <w:p w:rsidRPr="00B07BF4" w:rsidR="005257A9" w:rsidP="005257A9" w:rsidRDefault="005257A9" w14:paraId="4E1E1B16" w14:textId="77777777">
      <w:pPr>
        <w:pStyle w:val="sccoversheetunderline"/>
      </w:pPr>
      <w:r w:rsidRPr="00B07BF4">
        <w:t>Indicates New Matter</w:t>
      </w:r>
    </w:p>
    <w:p w:rsidRPr="00B07BF4" w:rsidR="005257A9" w:rsidP="005257A9" w:rsidRDefault="005257A9" w14:paraId="7401F1D5" w14:textId="77777777">
      <w:pPr>
        <w:pStyle w:val="sccoversheetemptyline"/>
      </w:pPr>
    </w:p>
    <w:sdt>
      <w:sdtPr>
        <w:alias w:val="status"/>
        <w:tag w:val="status"/>
        <w:id w:val="854397200"/>
        <w:placeholder>
          <w:docPart w:val="E73330D5019843608ABBB4BA43EB78D0"/>
        </w:placeholder>
      </w:sdtPr>
      <w:sdtEndPr/>
      <w:sdtContent>
        <w:p w:rsidRPr="00B07BF4" w:rsidR="005257A9" w:rsidP="005257A9" w:rsidRDefault="005257A9" w14:paraId="09A7663A" w14:textId="7E7D1519">
          <w:pPr>
            <w:pStyle w:val="sccoversheetstatus"/>
          </w:pPr>
          <w:r>
            <w:t>Committee Report</w:t>
          </w:r>
        </w:p>
      </w:sdtContent>
    </w:sdt>
    <w:sdt>
      <w:sdtPr>
        <w:alias w:val="printed"/>
        <w:tag w:val="printed"/>
        <w:id w:val="-1779714481"/>
        <w:placeholder>
          <w:docPart w:val="E73330D5019843608ABBB4BA43EB78D0"/>
        </w:placeholder>
        <w:text/>
      </w:sdtPr>
      <w:sdtEndPr/>
      <w:sdtContent>
        <w:p w:rsidR="005257A9" w:rsidP="005257A9" w:rsidRDefault="00D7486E" w14:paraId="76097DA2" w14:textId="6D67F936">
          <w:pPr>
            <w:pStyle w:val="sccoversheetinfo"/>
          </w:pPr>
          <w:r>
            <w:t>March 20, 2024</w:t>
          </w:r>
        </w:p>
      </w:sdtContent>
    </w:sdt>
    <w:p w:rsidRPr="00B07BF4" w:rsidR="00D7486E" w:rsidP="005257A9" w:rsidRDefault="00D7486E" w14:paraId="0E0871E7" w14:textId="77777777">
      <w:pPr>
        <w:pStyle w:val="sccoversheetinfo"/>
      </w:pPr>
    </w:p>
    <w:sdt>
      <w:sdtPr>
        <w:alias w:val="billnumber"/>
        <w:tag w:val="billnumber"/>
        <w:id w:val="-897512070"/>
        <w:placeholder>
          <w:docPart w:val="E73330D5019843608ABBB4BA43EB78D0"/>
        </w:placeholder>
        <w:text/>
      </w:sdtPr>
      <w:sdtEndPr/>
      <w:sdtContent>
        <w:p w:rsidRPr="00B07BF4" w:rsidR="005257A9" w:rsidP="005257A9" w:rsidRDefault="005257A9" w14:paraId="6525A364" w14:textId="6FF2BAEC">
          <w:pPr>
            <w:pStyle w:val="sccoversheetbillno"/>
          </w:pPr>
          <w:r>
            <w:t>H. 4559</w:t>
          </w:r>
        </w:p>
      </w:sdtContent>
    </w:sdt>
    <w:p w:rsidR="00D7486E" w:rsidP="005257A9" w:rsidRDefault="00D7486E" w14:paraId="1A5936D3" w14:textId="77777777">
      <w:pPr>
        <w:pStyle w:val="sccoversheetsponsor6"/>
        <w:jc w:val="center"/>
      </w:pPr>
    </w:p>
    <w:p w:rsidRPr="00B07BF4" w:rsidR="005257A9" w:rsidP="005257A9" w:rsidRDefault="005257A9" w14:paraId="6FFA10C3" w14:textId="5480E0A7">
      <w:pPr>
        <w:pStyle w:val="sccoversheetsponsor6"/>
        <w:jc w:val="center"/>
      </w:pPr>
      <w:r w:rsidRPr="00B07BF4">
        <w:t xml:space="preserve">Introduced by </w:t>
      </w:r>
      <w:sdt>
        <w:sdtPr>
          <w:alias w:val="sponsortype"/>
          <w:tag w:val="sponsortype"/>
          <w:id w:val="1707217765"/>
          <w:placeholder>
            <w:docPart w:val="E73330D5019843608ABBB4BA43EB78D0"/>
          </w:placeholder>
          <w:text/>
        </w:sdtPr>
        <w:sdtEndPr/>
        <w:sdtContent>
          <w:r>
            <w:t>Reps</w:t>
          </w:r>
          <w:r w:rsidR="00D7486E">
            <w:t>.</w:t>
          </w:r>
        </w:sdtContent>
      </w:sdt>
      <w:r w:rsidRPr="00B07BF4">
        <w:t xml:space="preserve"> </w:t>
      </w:r>
      <w:sdt>
        <w:sdtPr>
          <w:alias w:val="sponsors"/>
          <w:tag w:val="sponsors"/>
          <w:id w:val="716862734"/>
          <w:placeholder>
            <w:docPart w:val="E73330D5019843608ABBB4BA43EB78D0"/>
          </w:placeholder>
          <w:text/>
        </w:sdtPr>
        <w:sdtEndPr/>
        <w:sdtContent>
          <w:r>
            <w:t>Bernstein, Rose, Clyburn, Mitchell and Yow</w:t>
          </w:r>
        </w:sdtContent>
      </w:sdt>
      <w:r w:rsidRPr="00B07BF4">
        <w:t xml:space="preserve"> </w:t>
      </w:r>
    </w:p>
    <w:p w:rsidRPr="00B07BF4" w:rsidR="005257A9" w:rsidP="005257A9" w:rsidRDefault="005257A9" w14:paraId="6761F615" w14:textId="77777777">
      <w:pPr>
        <w:pStyle w:val="sccoversheetsponsor6"/>
      </w:pPr>
    </w:p>
    <w:p w:rsidRPr="00B07BF4" w:rsidR="005257A9" w:rsidP="00E2681B" w:rsidRDefault="00E2681B" w14:paraId="342A7D8A" w14:textId="598EA951">
      <w:pPr>
        <w:pStyle w:val="sccoversheetreadfirst"/>
      </w:pPr>
      <w:sdt>
        <w:sdtPr>
          <w:alias w:val="typeinitial"/>
          <w:tag w:val="typeinitial"/>
          <w:id w:val="98301346"/>
          <w:placeholder>
            <w:docPart w:val="E73330D5019843608ABBB4BA43EB78D0"/>
          </w:placeholder>
          <w:text/>
        </w:sdtPr>
        <w:sdtEndPr/>
        <w:sdtContent>
          <w:r w:rsidR="005257A9">
            <w:t>S</w:t>
          </w:r>
        </w:sdtContent>
      </w:sdt>
      <w:r w:rsidRPr="00B07BF4" w:rsidR="005257A9">
        <w:t xml:space="preserve">. Printed </w:t>
      </w:r>
      <w:sdt>
        <w:sdtPr>
          <w:alias w:val="printed"/>
          <w:tag w:val="printed"/>
          <w:id w:val="-774643221"/>
          <w:placeholder>
            <w:docPart w:val="E73330D5019843608ABBB4BA43EB78D0"/>
          </w:placeholder>
          <w:text/>
        </w:sdtPr>
        <w:sdtEndPr/>
        <w:sdtContent>
          <w:r w:rsidR="005257A9">
            <w:t>03/20/24</w:t>
          </w:r>
        </w:sdtContent>
      </w:sdt>
      <w:r w:rsidRPr="00B07BF4" w:rsidR="005257A9">
        <w:t>--</w:t>
      </w:r>
      <w:sdt>
        <w:sdtPr>
          <w:alias w:val="residingchamber"/>
          <w:tag w:val="residingchamber"/>
          <w:id w:val="1651789982"/>
          <w:placeholder>
            <w:docPart w:val="E73330D5019843608ABBB4BA43EB78D0"/>
          </w:placeholder>
          <w:text/>
        </w:sdtPr>
        <w:sdtEndPr/>
        <w:sdtContent>
          <w:r w:rsidR="005257A9">
            <w:t>H</w:t>
          </w:r>
        </w:sdtContent>
      </w:sdt>
      <w:r w:rsidRPr="00B07BF4" w:rsidR="005257A9">
        <w:t>.</w:t>
      </w:r>
      <w:r>
        <w:tab/>
        <w:t>[SEC 3/21/2024 11:24 AM]</w:t>
      </w:r>
    </w:p>
    <w:p w:rsidRPr="00B07BF4" w:rsidR="005257A9" w:rsidP="005257A9" w:rsidRDefault="005257A9" w14:paraId="5D1EDEEA" w14:textId="3E71B6F5">
      <w:pPr>
        <w:pStyle w:val="sccoversheetreadfirst"/>
      </w:pPr>
      <w:r w:rsidRPr="00B07BF4">
        <w:t xml:space="preserve">Read the first time </w:t>
      </w:r>
      <w:sdt>
        <w:sdtPr>
          <w:alias w:val="readfirst"/>
          <w:tag w:val="readfirst"/>
          <w:id w:val="-1145275273"/>
          <w:placeholder>
            <w:docPart w:val="E73330D5019843608ABBB4BA43EB78D0"/>
          </w:placeholder>
          <w:text/>
        </w:sdtPr>
        <w:sdtEndPr/>
        <w:sdtContent>
          <w:r>
            <w:t>January 09, 2024</w:t>
          </w:r>
        </w:sdtContent>
      </w:sdt>
    </w:p>
    <w:p w:rsidRPr="00B07BF4" w:rsidR="005257A9" w:rsidP="005257A9" w:rsidRDefault="005257A9" w14:paraId="045A914D" w14:textId="77777777">
      <w:pPr>
        <w:pStyle w:val="sccoversheetemptyline"/>
      </w:pPr>
    </w:p>
    <w:p w:rsidRPr="00B07BF4" w:rsidR="005257A9" w:rsidP="005257A9" w:rsidRDefault="005257A9" w14:paraId="2184E5BB" w14:textId="77777777">
      <w:pPr>
        <w:pStyle w:val="sccoversheetemptyline"/>
        <w:tabs>
          <w:tab w:val="center" w:pos="4493"/>
          <w:tab w:val="right" w:pos="8986"/>
        </w:tabs>
        <w:jc w:val="center"/>
      </w:pPr>
      <w:r w:rsidRPr="00B07BF4">
        <w:t>________</w:t>
      </w:r>
    </w:p>
    <w:p w:rsidRPr="00B07BF4" w:rsidR="005257A9" w:rsidP="005257A9" w:rsidRDefault="005257A9" w14:paraId="026DF79A" w14:textId="77777777">
      <w:pPr>
        <w:pStyle w:val="sccoversheetemptyline"/>
        <w:jc w:val="center"/>
        <w:rPr>
          <w:u w:val="single"/>
        </w:rPr>
      </w:pPr>
    </w:p>
    <w:p w:rsidRPr="00B07BF4" w:rsidR="005257A9" w:rsidP="005257A9" w:rsidRDefault="005257A9" w14:paraId="4FC0790E" w14:textId="435E8454">
      <w:pPr>
        <w:pStyle w:val="sccoversheetcommitteereportheader"/>
      </w:pPr>
      <w:r w:rsidRPr="00B07BF4">
        <w:t xml:space="preserve">The committee on </w:t>
      </w:r>
      <w:sdt>
        <w:sdtPr>
          <w:alias w:val="committeename"/>
          <w:tag w:val="committeename"/>
          <w:id w:val="-1151050561"/>
          <w:placeholder>
            <w:docPart w:val="E73330D5019843608ABBB4BA43EB78D0"/>
          </w:placeholder>
          <w:text/>
        </w:sdtPr>
        <w:sdtEndPr/>
        <w:sdtContent>
          <w:r>
            <w:t>House Judiciary</w:t>
          </w:r>
        </w:sdtContent>
      </w:sdt>
    </w:p>
    <w:p w:rsidRPr="00B07BF4" w:rsidR="005257A9" w:rsidP="005257A9" w:rsidRDefault="005257A9" w14:paraId="25F0EB14" w14:textId="6D0C971C">
      <w:pPr>
        <w:pStyle w:val="sccommitteereporttitle"/>
      </w:pPr>
      <w:r w:rsidRPr="00B07BF4">
        <w:t>To who</w:t>
      </w:r>
      <w:r w:rsidR="00D7486E">
        <w:t>m</w:t>
      </w:r>
      <w:r w:rsidRPr="00B07BF4">
        <w:t xml:space="preserve"> was referred a </w:t>
      </w:r>
      <w:sdt>
        <w:sdtPr>
          <w:alias w:val="doctype"/>
          <w:tag w:val="doctype"/>
          <w:id w:val="-95182141"/>
          <w:placeholder>
            <w:docPart w:val="E73330D5019843608ABBB4BA43EB78D0"/>
          </w:placeholder>
          <w:text/>
        </w:sdtPr>
        <w:sdtEndPr/>
        <w:sdtContent>
          <w:r>
            <w:t>Bill</w:t>
          </w:r>
        </w:sdtContent>
      </w:sdt>
      <w:r w:rsidRPr="00B07BF4">
        <w:t xml:space="preserve"> (</w:t>
      </w:r>
      <w:sdt>
        <w:sdtPr>
          <w:alias w:val="billnumber"/>
          <w:tag w:val="billnumber"/>
          <w:id w:val="249784876"/>
          <w:placeholder>
            <w:docPart w:val="E73330D5019843608ABBB4BA43EB78D0"/>
          </w:placeholder>
          <w:text/>
        </w:sdtPr>
        <w:sdtEndPr/>
        <w:sdtContent>
          <w:r>
            <w:t>H. 4559</w:t>
          </w:r>
        </w:sdtContent>
      </w:sdt>
      <w:r w:rsidRPr="00B07BF4">
        <w:t xml:space="preserve">) </w:t>
      </w:r>
      <w:sdt>
        <w:sdtPr>
          <w:alias w:val="billtitle"/>
          <w:tag w:val="billtitle"/>
          <w:id w:val="660268815"/>
          <w:placeholder>
            <w:docPart w:val="E73330D5019843608ABBB4BA43EB78D0"/>
          </w:placeholder>
          <w:text/>
        </w:sdtPr>
        <w:sdtEndPr/>
        <w:sdtContent>
          <w:r>
            <w:t>to amend the South Carolina Code of Laws by amending Section 62-3-108, relating to probate, testacy, and appointment proceedings and the ultimate time limit, so</w:t>
          </w:r>
        </w:sdtContent>
      </w:sdt>
      <w:r w:rsidRPr="00B07BF4">
        <w:t>, etc., respectfully</w:t>
      </w:r>
    </w:p>
    <w:p w:rsidRPr="00B07BF4" w:rsidR="005257A9" w:rsidP="005257A9" w:rsidRDefault="005257A9" w14:paraId="26771258" w14:textId="77777777">
      <w:pPr>
        <w:pStyle w:val="sccoversheetcommitteereportheader"/>
      </w:pPr>
      <w:r w:rsidRPr="00B07BF4">
        <w:t>Report:</w:t>
      </w:r>
    </w:p>
    <w:sdt>
      <w:sdtPr>
        <w:alias w:val="committeetitle"/>
        <w:tag w:val="committeetitle"/>
        <w:id w:val="1407110167"/>
        <w:placeholder>
          <w:docPart w:val="E73330D5019843608ABBB4BA43EB78D0"/>
        </w:placeholder>
        <w:text/>
      </w:sdtPr>
      <w:sdtEndPr/>
      <w:sdtContent>
        <w:p w:rsidRPr="00B07BF4" w:rsidR="005257A9" w:rsidP="005257A9" w:rsidRDefault="005257A9" w14:paraId="410776A9" w14:textId="3119D26B">
          <w:pPr>
            <w:pStyle w:val="sccommitteereporttitle"/>
          </w:pPr>
          <w:r>
            <w:t>That they have duly and carefully considered the same, and recommend that the same do pass:</w:t>
          </w:r>
        </w:p>
      </w:sdtContent>
    </w:sdt>
    <w:p w:rsidRPr="00B07BF4" w:rsidR="005257A9" w:rsidP="005257A9" w:rsidRDefault="005257A9" w14:paraId="5660102E" w14:textId="77777777">
      <w:pPr>
        <w:pStyle w:val="sccoversheetcommitteereportemplyline"/>
      </w:pPr>
    </w:p>
    <w:p w:rsidRPr="00B07BF4" w:rsidR="005257A9" w:rsidP="005257A9" w:rsidRDefault="00E2681B" w14:paraId="7AF50127" w14:textId="6DB4D651">
      <w:pPr>
        <w:pStyle w:val="sccoversheetcommitteereportchairperson"/>
      </w:pPr>
      <w:sdt>
        <w:sdtPr>
          <w:alias w:val="chairperson"/>
          <w:tag w:val="chairperson"/>
          <w:id w:val="-1033958730"/>
          <w:placeholder>
            <w:docPart w:val="E73330D5019843608ABBB4BA43EB78D0"/>
          </w:placeholder>
          <w:text/>
        </w:sdtPr>
        <w:sdtEndPr/>
        <w:sdtContent>
          <w:r w:rsidR="005257A9">
            <w:t>W. NEWTON</w:t>
          </w:r>
        </w:sdtContent>
      </w:sdt>
      <w:r w:rsidRPr="00B07BF4" w:rsidR="005257A9">
        <w:t xml:space="preserve"> for Committee.</w:t>
      </w:r>
    </w:p>
    <w:p w:rsidRPr="00B07BF4" w:rsidR="005257A9" w:rsidP="005257A9" w:rsidRDefault="005257A9" w14:paraId="243A250A" w14:textId="77777777">
      <w:pPr>
        <w:pStyle w:val="sccoversheetcommitteereportemplyline"/>
      </w:pPr>
    </w:p>
    <w:p w:rsidRPr="00B07BF4" w:rsidR="005257A9" w:rsidP="005257A9" w:rsidRDefault="005257A9" w14:paraId="41080405" w14:textId="77777777">
      <w:pPr>
        <w:pStyle w:val="sccoversheetcommitteereportemplyline"/>
      </w:pPr>
    </w:p>
    <w:p w:rsidRPr="00B07BF4" w:rsidR="005257A9" w:rsidP="005257A9" w:rsidRDefault="005257A9" w14:paraId="6B8EFFB7" w14:textId="77777777">
      <w:pPr>
        <w:pStyle w:val="sccoversheetFISheader"/>
      </w:pPr>
      <w:r w:rsidRPr="00B07BF4">
        <w:t>statement of estimated fiscal impact</w:t>
      </w:r>
    </w:p>
    <w:p w:rsidRPr="00B07BF4" w:rsidR="005257A9" w:rsidP="005257A9" w:rsidRDefault="005257A9" w14:paraId="67F50FC1" w14:textId="77777777">
      <w:pPr>
        <w:pStyle w:val="sccoversheetFISsectionheaders"/>
      </w:pPr>
      <w:r w:rsidRPr="00B07BF4">
        <w:t>Explanation of Fiscal Impact</w:t>
      </w:r>
    </w:p>
    <w:p w:rsidR="00D7486E" w:rsidP="00D7486E" w:rsidRDefault="00D7486E" w14:paraId="0FC5AAB1" w14:textId="77777777">
      <w:pPr>
        <w:pStyle w:val="sccoversheetFISsectionheaders"/>
      </w:pPr>
      <w:r>
        <w:t>State Expenditure</w:t>
      </w:r>
    </w:p>
    <w:p w:rsidR="00D7486E" w:rsidP="00D7486E" w:rsidRDefault="00D7486E" w14:paraId="5D645348" w14:textId="77777777">
      <w:pPr>
        <w:pStyle w:val="sccoversheetFISsectioninfo"/>
      </w:pPr>
      <w:r>
        <w:t xml:space="preserve">This bill allows the estate of an individual, regardless of the date of death, to maintain appointment proceedings for the sole purpose of allowing a claim to be made pursuant to Section 804 of the “Sergeant First Class Heath Robinson Honoring Our Promise to Address Comprehensive Toxics Act of 2022.” Currently, estate proceedings may not commence more than ten years after the decedent’s death. </w:t>
      </w:r>
    </w:p>
    <w:p w:rsidR="00D7486E" w:rsidP="00D7486E" w:rsidRDefault="00D7486E" w14:paraId="4BCA3379" w14:textId="77777777">
      <w:pPr>
        <w:pStyle w:val="sccoversheetFISsectioninfo"/>
      </w:pPr>
    </w:p>
    <w:p w:rsidR="00D7486E" w:rsidP="00D7486E" w:rsidRDefault="00D7486E" w14:paraId="0CC32A1F" w14:textId="77777777">
      <w:pPr>
        <w:pStyle w:val="sccoversheetFISsectioninfo"/>
      </w:pPr>
      <w:r>
        <w:t>Based on responses on similar legislation, DVA anticipates that this bill will have no fiscal impact on the agency as the court proceedings do not relate to the state level DVA. DVA would pull the final decision data off the federal database if it was a part of a service member’s record.</w:t>
      </w:r>
    </w:p>
    <w:p w:rsidR="00D7486E" w:rsidP="00D7486E" w:rsidRDefault="00D7486E" w14:paraId="7453FB5F" w14:textId="77777777">
      <w:pPr>
        <w:pStyle w:val="sccoversheetFISsectioninfo"/>
      </w:pPr>
    </w:p>
    <w:p w:rsidR="00D7486E" w:rsidP="00D7486E" w:rsidRDefault="00D7486E" w14:paraId="1B39B189" w14:textId="77777777">
      <w:pPr>
        <w:pStyle w:val="sccoversheetFISsectionheaders"/>
      </w:pPr>
      <w:r>
        <w:t>Local Expenditure</w:t>
      </w:r>
    </w:p>
    <w:p w:rsidR="00D7486E" w:rsidP="00D7486E" w:rsidRDefault="00D7486E" w14:paraId="2B370F16" w14:textId="77777777">
      <w:pPr>
        <w:pStyle w:val="sccoversheetFISsectioninfo"/>
      </w:pPr>
      <w:r>
        <w:t>Based on responses on similar legislation, Judicial reports that implementation of the bill may result in an increase in probate court caseloads, which can be managed using existing staff and appropriations. Therefore, the bill will result in no local expenditure impact.</w:t>
      </w:r>
    </w:p>
    <w:p w:rsidRPr="00B07BF4" w:rsidR="005257A9" w:rsidP="005257A9" w:rsidRDefault="00E2681B" w14:paraId="76C09238" w14:textId="1212FDA3">
      <w:pPr>
        <w:pStyle w:val="sccoversheetFISdirector"/>
      </w:pPr>
      <w:sdt>
        <w:sdtPr>
          <w:alias w:val="director"/>
          <w:tag w:val="director"/>
          <w:id w:val="-1654141734"/>
          <w:placeholder>
            <w:docPart w:val="E73330D5019843608ABBB4BA43EB78D0"/>
          </w:placeholder>
          <w:text/>
        </w:sdtPr>
        <w:sdtEndPr/>
        <w:sdtContent>
          <w:r w:rsidR="00D7486E">
            <w:t>Frank A. Rainwater</w:t>
          </w:r>
        </w:sdtContent>
      </w:sdt>
      <w:r w:rsidRPr="00B07BF4" w:rsidR="005257A9">
        <w:t>, Executive Director</w:t>
      </w:r>
    </w:p>
    <w:p w:rsidRPr="00B07BF4" w:rsidR="005257A9" w:rsidP="005257A9" w:rsidRDefault="005257A9" w14:paraId="54B65D03" w14:textId="77777777">
      <w:pPr>
        <w:pStyle w:val="sccoversheetFISdirector"/>
      </w:pPr>
      <w:r w:rsidRPr="00B07BF4">
        <w:t>Revenue and Fiscal Affairs Office</w:t>
      </w:r>
    </w:p>
    <w:p w:rsidRPr="00B07BF4" w:rsidR="005257A9" w:rsidP="005257A9" w:rsidRDefault="005257A9" w14:paraId="731B20DE" w14:textId="77777777">
      <w:pPr>
        <w:pStyle w:val="sccoversheetFISheader"/>
      </w:pPr>
    </w:p>
    <w:p w:rsidRPr="00B07BF4" w:rsidR="005257A9" w:rsidP="005257A9" w:rsidRDefault="005257A9" w14:paraId="72C8CA40" w14:textId="77777777">
      <w:pPr>
        <w:pStyle w:val="sccoversheetemptyline"/>
        <w:jc w:val="center"/>
      </w:pPr>
      <w:r w:rsidRPr="00B07BF4">
        <w:t>________</w:t>
      </w:r>
    </w:p>
    <w:p w:rsidRPr="00B07BF4" w:rsidR="005257A9" w:rsidP="005257A9" w:rsidRDefault="005257A9" w14:paraId="1C03DEC8"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5257A9" w:rsidP="00446987" w:rsidRDefault="005257A9" w14:paraId="1816FD08" w14:textId="77777777">
      <w:pPr>
        <w:pStyle w:val="scemptylineheader"/>
      </w:pPr>
    </w:p>
    <w:p w:rsidRPr="00DF3B44" w:rsidR="008E61A1" w:rsidP="00446987" w:rsidRDefault="008E61A1" w14:paraId="3B5B27A6" w14:textId="78FCDF7F">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D3A1F" w14:paraId="40FEFADA" w14:textId="282CE8CC">
          <w:pPr>
            <w:pStyle w:val="scbilltitle"/>
            <w:tabs>
              <w:tab w:val="left" w:pos="2104"/>
            </w:tabs>
          </w:pPr>
          <w:r>
            <w:t>TO AMEND THE SOUTH CAROLINA CODE OF LAWS BY AMENDING SECTION 62-3-108, RELATING TO PROBATE, TESTACY, AND APPOINTMENT PROCEEDINGS AND THE ULTIMATE TIME LIMIT, SO AS TO ALLOW APPROPRIATE APPOINTMENT PROCEEDINGS REGARDING AN INDIVIDUAL'S ESTATE FOR THE SOLE PURPOSE OF ALLOWING A CLAIM TO BE MADE PURSUANT TO THE “HONORING OUR PACT ACT OF 2022” REGARDLESS OF THE DATE OF THAT INDIVIDUAL</w:t>
          </w:r>
          <w:r w:rsidR="000803B5">
            <w:t>’</w:t>
          </w:r>
          <w:r>
            <w:t>S DEATH.</w:t>
          </w:r>
        </w:p>
      </w:sdtContent>
    </w:sdt>
    <w:bookmarkStart w:name="at_abd85744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866bf45e" w:id="1"/>
      <w:r w:rsidRPr="0094541D">
        <w:t>B</w:t>
      </w:r>
      <w:bookmarkEnd w:id="1"/>
      <w:r w:rsidRPr="0094541D">
        <w:t>e it enacted by the General Assembly of the State of South Carolina:</w:t>
      </w:r>
    </w:p>
    <w:p w:rsidR="00AD6D74" w:rsidP="00AD6D74" w:rsidRDefault="00AD6D74" w14:paraId="4D9CE3F5" w14:textId="77777777">
      <w:pPr>
        <w:pStyle w:val="scemptyline"/>
      </w:pPr>
    </w:p>
    <w:p w:rsidR="00AD6D74" w:rsidP="00AD6D74" w:rsidRDefault="00AD6D74" w14:paraId="17FBB4BD" w14:textId="0394654B">
      <w:pPr>
        <w:pStyle w:val="scdirectionallanguage"/>
      </w:pPr>
      <w:bookmarkStart w:name="bs_num_1_311e0de31" w:id="2"/>
      <w:r>
        <w:t>S</w:t>
      </w:r>
      <w:bookmarkEnd w:id="2"/>
      <w:r>
        <w:t>ECTION 1.</w:t>
      </w:r>
      <w:r>
        <w:tab/>
      </w:r>
      <w:bookmarkStart w:name="dl_b07b55aff" w:id="3"/>
      <w:r>
        <w:t>S</w:t>
      </w:r>
      <w:bookmarkEnd w:id="3"/>
      <w:r>
        <w:t>ection 62-3-108 of the S.C. Code is amended to read:</w:t>
      </w:r>
    </w:p>
    <w:p w:rsidR="00AD6D74" w:rsidP="00AD6D74" w:rsidRDefault="00AD6D74" w14:paraId="089D41A2" w14:textId="77777777">
      <w:pPr>
        <w:pStyle w:val="scemptyline"/>
      </w:pPr>
    </w:p>
    <w:p w:rsidR="00AD6D74" w:rsidP="00AD6D74" w:rsidRDefault="00AD6D74" w14:paraId="133D3463" w14:textId="44567380">
      <w:pPr>
        <w:pStyle w:val="sccodifiedsection"/>
      </w:pPr>
      <w:r>
        <w:tab/>
      </w:r>
      <w:bookmarkStart w:name="cs_T62C3N108_cce5e0b03" w:id="4"/>
      <w:r>
        <w:t>S</w:t>
      </w:r>
      <w:bookmarkEnd w:id="4"/>
      <w:r>
        <w:t>ection 62-3-108.</w:t>
      </w:r>
      <w:r>
        <w:tab/>
      </w:r>
      <w:bookmarkStart w:name="ss_T62C3N108SA_lv1_521b59e8e" w:id="5"/>
      <w:r>
        <w:t>(</w:t>
      </w:r>
      <w:bookmarkEnd w:id="5"/>
      <w:r>
        <w:t>A)</w:t>
      </w:r>
      <w:bookmarkStart w:name="ss_T62C3N108S1_lv2_2b4cf4ad2" w:id="6"/>
      <w:r>
        <w:t>(</w:t>
      </w:r>
      <w:bookmarkEnd w:id="6"/>
      <w:r>
        <w:t>1) No informal probate or appointment proceeding or formal testacy or appointment proceeding, other than a proceeding to probate a will previously probated at the testator</w:t>
      </w:r>
      <w:r w:rsidR="00E2681B">
        <w:t>’</w:t>
      </w:r>
      <w:r>
        <w:t>s domicile and appointment proceedings relating to an estate in which there has been a prior appointment, may be commenced more than ten years after the decedent</w:t>
      </w:r>
      <w:r w:rsidR="00E2681B">
        <w:t>’</w:t>
      </w:r>
      <w:r>
        <w:t>s death.</w:t>
      </w:r>
    </w:p>
    <w:p w:rsidR="00AD6D74" w:rsidP="00AD6D74" w:rsidRDefault="00AD6D74" w14:paraId="21C0CFE5" w14:textId="77777777">
      <w:pPr>
        <w:pStyle w:val="sccodifiedsection"/>
      </w:pPr>
      <w:r>
        <w:tab/>
      </w:r>
      <w:r>
        <w:tab/>
      </w:r>
      <w:bookmarkStart w:name="ss_T62C3N108S2_lv2_4f5732db2" w:id="7"/>
      <w:r>
        <w:t>(</w:t>
      </w:r>
      <w:bookmarkEnd w:id="7"/>
      <w:r>
        <w:t>2) Notwithstanding any other provision of this section:</w:t>
      </w:r>
    </w:p>
    <w:p w:rsidR="00AD6D74" w:rsidP="00AD6D74" w:rsidRDefault="00AD6D74" w14:paraId="66550EFE" w14:textId="1363ADBA">
      <w:pPr>
        <w:pStyle w:val="sccodifiedsection"/>
      </w:pPr>
      <w:r>
        <w:tab/>
      </w:r>
      <w:r>
        <w:tab/>
      </w:r>
      <w:r>
        <w:tab/>
      </w:r>
      <w:bookmarkStart w:name="ss_T62C3N108Sa_lv3_310636457" w:id="8"/>
      <w:r>
        <w:t>(</w:t>
      </w:r>
      <w:bookmarkEnd w:id="8"/>
      <w:r>
        <w:t>a) if a previous proceeding was dismissed because of doubt about the fact of the decedent</w:t>
      </w:r>
      <w:r w:rsidR="00E2681B">
        <w:t>’</w:t>
      </w:r>
      <w:r>
        <w:t>s death, appropriate probate, appointment, or testacy proceedings may be maintained at any time upon a finding that the decedent</w:t>
      </w:r>
      <w:r w:rsidR="00E2681B">
        <w:t>’</w:t>
      </w:r>
      <w:r>
        <w:t>s death occurred prior to the initiation of the previous proceeding and the applicant or petitioner has not delayed unduly in initiating the subsequent proceeding and if that previous proceeding was commenced within the time limits of this section;</w:t>
      </w:r>
    </w:p>
    <w:p w:rsidR="00AD6D74" w:rsidP="00AD6D74" w:rsidRDefault="00AD6D74" w14:paraId="7E215CD4" w14:textId="2E962655">
      <w:pPr>
        <w:pStyle w:val="sccodifiedsection"/>
      </w:pPr>
      <w:r>
        <w:tab/>
      </w:r>
      <w:r>
        <w:tab/>
      </w:r>
      <w:r>
        <w:tab/>
      </w:r>
      <w:bookmarkStart w:name="ss_T62C3N108Sb_lv3_7dc95827d" w:id="9"/>
      <w:r>
        <w:t>(</w:t>
      </w:r>
      <w:bookmarkEnd w:id="9"/>
      <w:r>
        <w:t xml:space="preserve">b) appropriate probate, appointment, or testacy proceedings may be maintained in relation to the estate of an absent, disappeared, or missing person for whose estate a conservator has been appointed, at any time within three years after the conservator becomes able to establish the death of the protected person;  </w:t>
      </w:r>
      <w:r>
        <w:rPr>
          <w:rStyle w:val="scstrike"/>
        </w:rPr>
        <w:t>and</w:t>
      </w:r>
    </w:p>
    <w:p w:rsidR="00AD6D74" w:rsidP="00AD6D74" w:rsidRDefault="00AD6D74" w14:paraId="626ED716" w14:textId="77777777">
      <w:pPr>
        <w:pStyle w:val="sccodifiedsection"/>
      </w:pPr>
      <w:r>
        <w:tab/>
      </w:r>
      <w:r>
        <w:tab/>
      </w:r>
      <w:r>
        <w:tab/>
      </w:r>
      <w:bookmarkStart w:name="ss_T62C3N108Sc_lv3_9daf18859" w:id="10"/>
      <w:r>
        <w:t>(</w:t>
      </w:r>
      <w:bookmarkEnd w:id="10"/>
      <w:r>
        <w:t>c) a proceeding to contest an informally probated will and to secure appointment of the person with legal priority for appointment in the event the contest is successful may be commenced within eight months from informal probate or one year from the decedent's death, whichever is later</w:t>
      </w:r>
      <w:r>
        <w:rPr>
          <w:rStyle w:val="scinsert"/>
        </w:rPr>
        <w:t>; and</w:t>
      </w:r>
    </w:p>
    <w:p w:rsidR="00AD6D74" w:rsidP="00AD6D74" w:rsidRDefault="00AD6D74" w14:paraId="4B32BD85" w14:textId="3A854A0F">
      <w:pPr>
        <w:pStyle w:val="sccodifiedsection"/>
      </w:pPr>
      <w:r>
        <w:rPr>
          <w:rStyle w:val="scinsert"/>
        </w:rPr>
        <w:tab/>
      </w:r>
      <w:r>
        <w:rPr>
          <w:rStyle w:val="scinsert"/>
        </w:rPr>
        <w:tab/>
      </w:r>
      <w:r>
        <w:rPr>
          <w:rStyle w:val="scinsert"/>
        </w:rPr>
        <w:tab/>
      </w:r>
      <w:bookmarkStart w:name="ss_T62C3N108Sd_lv3_3c9c057e9" w:id="11"/>
      <w:r>
        <w:rPr>
          <w:rStyle w:val="scinsert"/>
        </w:rPr>
        <w:t>(</w:t>
      </w:r>
      <w:bookmarkEnd w:id="11"/>
      <w:r>
        <w:rPr>
          <w:rStyle w:val="scinsert"/>
        </w:rPr>
        <w:t xml:space="preserve">d) appropriate appointment proceedings may be maintained in relation to the estate of an individual for the sole purpose of allowing a claim to be made pursuant to Section 804 of the “Sergeant First Class Heath Robinson Honoring our Promise to Address Comprehensive Toxics Act of 2022” </w:t>
      </w:r>
      <w:r>
        <w:rPr>
          <w:rStyle w:val="scinsert"/>
        </w:rPr>
        <w:lastRenderedPageBreak/>
        <w:t>also known as the “Honoring our PACT Act of 2022,” Public Law 117-168, as amended</w:t>
      </w:r>
      <w:r w:rsidR="002F620B">
        <w:rPr>
          <w:rStyle w:val="scinsert"/>
        </w:rPr>
        <w:t>,</w:t>
      </w:r>
      <w:r>
        <w:rPr>
          <w:rStyle w:val="scinsert"/>
        </w:rPr>
        <w:t xml:space="preserve"> regardless of the date of that individual’s death</w:t>
      </w:r>
      <w:r>
        <w:t>.</w:t>
      </w:r>
    </w:p>
    <w:p w:rsidR="00AD6D74" w:rsidP="00AD6D74" w:rsidRDefault="00AD6D74" w14:paraId="7950AFC2" w14:textId="2CD65013">
      <w:pPr>
        <w:pStyle w:val="sccodifiedsection"/>
      </w:pPr>
      <w:r>
        <w:tab/>
      </w:r>
      <w:bookmarkStart w:name="ss_T62C3N108SB_lv1_f98ab33b0" w:id="12"/>
      <w:r>
        <w:t>(</w:t>
      </w:r>
      <w:bookmarkEnd w:id="12"/>
      <w:r>
        <w:t>B) If no informal probate and no formal testacy proceedings are commenced within ten years after the decedent's death, and no proceedings under subsection (A)(2)</w:t>
      </w:r>
      <w:r>
        <w:rPr>
          <w:rStyle w:val="scstrike"/>
        </w:rPr>
        <w:t>(b)</w:t>
      </w:r>
      <w:r>
        <w:t xml:space="preserve"> are commenced within the applicable period of </w:t>
      </w:r>
      <w:r>
        <w:rPr>
          <w:rStyle w:val="scstrike"/>
        </w:rPr>
        <w:t>three years</w:t>
      </w:r>
      <w:r w:rsidR="00A2523F">
        <w:rPr>
          <w:rStyle w:val="scinsert"/>
        </w:rPr>
        <w:t xml:space="preserve"> time</w:t>
      </w:r>
      <w:r>
        <w:t>, it is incontestable that the decedent left no will and that the decedent's estate passes by intestate succession. These limitations do not apply to proceedings to construe probated wills or determine heirs of an intestate. In proceedings commenced under subsection (A)(2)(a) or (A)(2)(b), the date on which a testacy or appointment proceeding is properly commenced is deemed to be the date of the decedent's death for purposes of other limitations provisions of this Code which relate to the date of death.</w:t>
      </w:r>
    </w:p>
    <w:p w:rsidRPr="00DF3B44" w:rsidR="007E06BB" w:rsidP="00787433" w:rsidRDefault="007E06BB" w14:paraId="3D8F1FED" w14:textId="16E20E70">
      <w:pPr>
        <w:pStyle w:val="scemptyline"/>
      </w:pPr>
    </w:p>
    <w:p w:rsidRPr="00DF3B44" w:rsidR="007A10F1" w:rsidP="007A10F1" w:rsidRDefault="00AD6D74" w14:paraId="0E9393B4" w14:textId="36F9E5A0">
      <w:pPr>
        <w:pStyle w:val="scnoncodifiedsection"/>
      </w:pPr>
      <w:bookmarkStart w:name="bs_num_2_lastsection" w:id="13"/>
      <w:bookmarkStart w:name="eff_date_section" w:id="14"/>
      <w:r>
        <w:t>S</w:t>
      </w:r>
      <w:bookmarkEnd w:id="13"/>
      <w:r>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257A9">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554681"/>
      <w:docPartObj>
        <w:docPartGallery w:val="Page Numbers (Bottom of Page)"/>
        <w:docPartUnique/>
      </w:docPartObj>
    </w:sdtPr>
    <w:sdtEndPr>
      <w:rPr>
        <w:noProof/>
      </w:rPr>
    </w:sdtEndPr>
    <w:sdtContent>
      <w:p w14:paraId="650DA25B" w14:textId="77777777" w:rsidR="005257A9" w:rsidRPr="007B4AF7" w:rsidRDefault="00E2681B" w:rsidP="00D14995">
        <w:pPr>
          <w:pStyle w:val="scbillfooter"/>
        </w:pPr>
        <w:sdt>
          <w:sdtPr>
            <w:alias w:val="footer_billname"/>
            <w:tag w:val="footer_billname"/>
            <w:id w:val="-413939319"/>
            <w:lock w:val="sdtContentLocked"/>
            <w:placeholder>
              <w:docPart w:val="C505644FF1994A7BAB00FF7AD9A2E7AD"/>
            </w:placeholder>
            <w:dataBinding w:prefixMappings="xmlns:ns0='http://schemas.openxmlformats.org/package/2006/metadata/lwb360-metadata' " w:xpath="/ns0:lwb360Metadata[1]/ns0:T_BILL_T_BILLNAME[1]" w:storeItemID="{A70AC2F9-CF59-46A9-A8A7-29CBD0ED4110}"/>
            <w:text/>
          </w:sdtPr>
          <w:sdtEndPr/>
          <w:sdtContent>
            <w:r w:rsidR="005257A9">
              <w:t>[4559]</w:t>
            </w:r>
          </w:sdtContent>
        </w:sdt>
        <w:r w:rsidR="005257A9" w:rsidRPr="007B4AF7">
          <w:tab/>
        </w:r>
        <w:r w:rsidR="005257A9" w:rsidRPr="007B4AF7">
          <w:fldChar w:fldCharType="begin"/>
        </w:r>
        <w:r w:rsidR="005257A9" w:rsidRPr="007B4AF7">
          <w:instrText xml:space="preserve"> PAGE   \* MERGEFORMAT </w:instrText>
        </w:r>
        <w:r w:rsidR="005257A9" w:rsidRPr="007B4AF7">
          <w:fldChar w:fldCharType="separate"/>
        </w:r>
        <w:r w:rsidR="005257A9" w:rsidRPr="007B4AF7">
          <w:rPr>
            <w:noProof/>
          </w:rPr>
          <w:t>2</w:t>
        </w:r>
        <w:r w:rsidR="005257A9" w:rsidRPr="007B4AF7">
          <w:rPr>
            <w:noProof/>
          </w:rPr>
          <w:fldChar w:fldCharType="end"/>
        </w:r>
        <w:r w:rsidR="005257A9" w:rsidRPr="007B4AF7">
          <w:rPr>
            <w:noProof/>
          </w:rPr>
          <w:tab/>
        </w:r>
        <w:sdt>
          <w:sdtPr>
            <w:rPr>
              <w:noProof/>
            </w:rPr>
            <w:alias w:val="footer_filename"/>
            <w:tag w:val="footer_filename"/>
            <w:id w:val="-333994275"/>
            <w:lock w:val="sdtContentLocked"/>
            <w:placeholder>
              <w:docPart w:val="C505644FF1994A7BAB00FF7AD9A2E7AD"/>
            </w:placeholder>
            <w:dataBinding w:prefixMappings="xmlns:ns0='http://schemas.openxmlformats.org/package/2006/metadata/lwb360-metadata' " w:xpath="/ns0:lwb360Metadata[1]/ns0:T_BILL_T_FILENAME[1]" w:storeItemID="{A70AC2F9-CF59-46A9-A8A7-29CBD0ED4110}"/>
            <w:text/>
          </w:sdtPr>
          <w:sdtEndPr/>
          <w:sdtContent>
            <w:r w:rsidR="005257A9">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4732" w14:textId="77777777" w:rsidR="005257A9" w:rsidRDefault="00525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03B5"/>
    <w:rsid w:val="000A1F19"/>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3342"/>
    <w:rsid w:val="002A7989"/>
    <w:rsid w:val="002B02F3"/>
    <w:rsid w:val="002C3463"/>
    <w:rsid w:val="002D266D"/>
    <w:rsid w:val="002D5B3D"/>
    <w:rsid w:val="002D7447"/>
    <w:rsid w:val="002E1182"/>
    <w:rsid w:val="002E315A"/>
    <w:rsid w:val="002E4F8C"/>
    <w:rsid w:val="002F560C"/>
    <w:rsid w:val="002F5847"/>
    <w:rsid w:val="002F620B"/>
    <w:rsid w:val="0030425A"/>
    <w:rsid w:val="003421F1"/>
    <w:rsid w:val="0034279C"/>
    <w:rsid w:val="00354F64"/>
    <w:rsid w:val="003559A1"/>
    <w:rsid w:val="00361563"/>
    <w:rsid w:val="00371D36"/>
    <w:rsid w:val="00373E17"/>
    <w:rsid w:val="003775E6"/>
    <w:rsid w:val="00381998"/>
    <w:rsid w:val="0038206F"/>
    <w:rsid w:val="003A5F1C"/>
    <w:rsid w:val="003C3E2E"/>
    <w:rsid w:val="003D4A3C"/>
    <w:rsid w:val="003D55B2"/>
    <w:rsid w:val="003E0033"/>
    <w:rsid w:val="003E5452"/>
    <w:rsid w:val="003E7165"/>
    <w:rsid w:val="003E7FF6"/>
    <w:rsid w:val="004046B5"/>
    <w:rsid w:val="00406F27"/>
    <w:rsid w:val="004141B8"/>
    <w:rsid w:val="004203B9"/>
    <w:rsid w:val="004253C4"/>
    <w:rsid w:val="00432135"/>
    <w:rsid w:val="00445DB2"/>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257A9"/>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00F9"/>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2E22"/>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35F6"/>
    <w:rsid w:val="007F50D1"/>
    <w:rsid w:val="00816D52"/>
    <w:rsid w:val="0082789A"/>
    <w:rsid w:val="00831048"/>
    <w:rsid w:val="00834272"/>
    <w:rsid w:val="008625C1"/>
    <w:rsid w:val="008806F9"/>
    <w:rsid w:val="008A57E3"/>
    <w:rsid w:val="008B5BF4"/>
    <w:rsid w:val="008C0CEE"/>
    <w:rsid w:val="008C1B18"/>
    <w:rsid w:val="008D3A1F"/>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0203"/>
    <w:rsid w:val="0098366F"/>
    <w:rsid w:val="00983A03"/>
    <w:rsid w:val="00986063"/>
    <w:rsid w:val="00991F67"/>
    <w:rsid w:val="00992876"/>
    <w:rsid w:val="009A0DCE"/>
    <w:rsid w:val="009A22CD"/>
    <w:rsid w:val="009A3E4B"/>
    <w:rsid w:val="009B35FD"/>
    <w:rsid w:val="009B6815"/>
    <w:rsid w:val="009D02C2"/>
    <w:rsid w:val="009D2967"/>
    <w:rsid w:val="009D3C2B"/>
    <w:rsid w:val="009E4191"/>
    <w:rsid w:val="009F2AB1"/>
    <w:rsid w:val="009F4FAF"/>
    <w:rsid w:val="009F68F1"/>
    <w:rsid w:val="00A015F0"/>
    <w:rsid w:val="00A04529"/>
    <w:rsid w:val="00A0584B"/>
    <w:rsid w:val="00A17135"/>
    <w:rsid w:val="00A21A6F"/>
    <w:rsid w:val="00A24E56"/>
    <w:rsid w:val="00A2523F"/>
    <w:rsid w:val="00A26A62"/>
    <w:rsid w:val="00A35A9B"/>
    <w:rsid w:val="00A4070E"/>
    <w:rsid w:val="00A40CA0"/>
    <w:rsid w:val="00A504A7"/>
    <w:rsid w:val="00A53677"/>
    <w:rsid w:val="00A53BF2"/>
    <w:rsid w:val="00A60D68"/>
    <w:rsid w:val="00A73EFA"/>
    <w:rsid w:val="00A77A3B"/>
    <w:rsid w:val="00A90090"/>
    <w:rsid w:val="00A92F6F"/>
    <w:rsid w:val="00A97523"/>
    <w:rsid w:val="00AB0FA3"/>
    <w:rsid w:val="00AB73BF"/>
    <w:rsid w:val="00AC335C"/>
    <w:rsid w:val="00AC463E"/>
    <w:rsid w:val="00AD3BE2"/>
    <w:rsid w:val="00AD3E3D"/>
    <w:rsid w:val="00AD5BFF"/>
    <w:rsid w:val="00AD6D74"/>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76751"/>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C6CC8"/>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6585"/>
    <w:rsid w:val="00D54A6F"/>
    <w:rsid w:val="00D57D57"/>
    <w:rsid w:val="00D62E42"/>
    <w:rsid w:val="00D7486E"/>
    <w:rsid w:val="00D772FB"/>
    <w:rsid w:val="00DA1AA0"/>
    <w:rsid w:val="00DA7564"/>
    <w:rsid w:val="00DB1AB3"/>
    <w:rsid w:val="00DC44A8"/>
    <w:rsid w:val="00DE4BEE"/>
    <w:rsid w:val="00DE5B3D"/>
    <w:rsid w:val="00DE7112"/>
    <w:rsid w:val="00DF19BE"/>
    <w:rsid w:val="00DF3B44"/>
    <w:rsid w:val="00E1372E"/>
    <w:rsid w:val="00E21D30"/>
    <w:rsid w:val="00E24D9A"/>
    <w:rsid w:val="00E2681B"/>
    <w:rsid w:val="00E27805"/>
    <w:rsid w:val="00E27A11"/>
    <w:rsid w:val="00E30497"/>
    <w:rsid w:val="00E358A2"/>
    <w:rsid w:val="00E35C9A"/>
    <w:rsid w:val="00E3771B"/>
    <w:rsid w:val="00E40979"/>
    <w:rsid w:val="00E43F26"/>
    <w:rsid w:val="00E52A36"/>
    <w:rsid w:val="00E563D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5A8"/>
    <w:rsid w:val="00F15E33"/>
    <w:rsid w:val="00F17DA2"/>
    <w:rsid w:val="00F22EC0"/>
    <w:rsid w:val="00F27D7B"/>
    <w:rsid w:val="00F31D34"/>
    <w:rsid w:val="00F342A1"/>
    <w:rsid w:val="00F34972"/>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9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2789A"/>
    <w:rPr>
      <w:rFonts w:ascii="Times New Roman" w:hAnsi="Times New Roman"/>
      <w:b w:val="0"/>
      <w:i w:val="0"/>
      <w:sz w:val="22"/>
    </w:rPr>
  </w:style>
  <w:style w:type="paragraph" w:styleId="NoSpacing">
    <w:name w:val="No Spacing"/>
    <w:uiPriority w:val="1"/>
    <w:qFormat/>
    <w:rsid w:val="0082789A"/>
    <w:pPr>
      <w:spacing w:after="0" w:line="240" w:lineRule="auto"/>
    </w:pPr>
  </w:style>
  <w:style w:type="paragraph" w:customStyle="1" w:styleId="scemptylineheader">
    <w:name w:val="sc_emptyline_header"/>
    <w:qFormat/>
    <w:rsid w:val="0082789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2789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2789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2789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2789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27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2789A"/>
    <w:rPr>
      <w:color w:val="808080"/>
    </w:rPr>
  </w:style>
  <w:style w:type="paragraph" w:customStyle="1" w:styleId="scdirectionallanguage">
    <w:name w:val="sc_directional_language"/>
    <w:qFormat/>
    <w:rsid w:val="0082789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27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2789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2789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2789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2789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2789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2789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2789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2789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2789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2789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2789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278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2789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2789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2789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2789A"/>
    <w:rPr>
      <w:rFonts w:ascii="Times New Roman" w:hAnsi="Times New Roman"/>
      <w:color w:val="auto"/>
      <w:sz w:val="22"/>
    </w:rPr>
  </w:style>
  <w:style w:type="paragraph" w:customStyle="1" w:styleId="scclippagebillheader">
    <w:name w:val="sc_clip_page_bill_header"/>
    <w:qFormat/>
    <w:rsid w:val="0082789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2789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2789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27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89A"/>
    <w:rPr>
      <w:lang w:val="en-US"/>
    </w:rPr>
  </w:style>
  <w:style w:type="paragraph" w:styleId="Footer">
    <w:name w:val="footer"/>
    <w:basedOn w:val="Normal"/>
    <w:link w:val="FooterChar"/>
    <w:uiPriority w:val="99"/>
    <w:unhideWhenUsed/>
    <w:rsid w:val="00827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89A"/>
    <w:rPr>
      <w:lang w:val="en-US"/>
    </w:rPr>
  </w:style>
  <w:style w:type="paragraph" w:styleId="ListParagraph">
    <w:name w:val="List Paragraph"/>
    <w:basedOn w:val="Normal"/>
    <w:uiPriority w:val="34"/>
    <w:qFormat/>
    <w:rsid w:val="0082789A"/>
    <w:pPr>
      <w:ind w:left="720"/>
      <w:contextualSpacing/>
    </w:pPr>
  </w:style>
  <w:style w:type="paragraph" w:customStyle="1" w:styleId="scbillfooter">
    <w:name w:val="sc_bill_footer"/>
    <w:qFormat/>
    <w:rsid w:val="0082789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27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2789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2789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27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27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27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27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27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2789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27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2789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27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2789A"/>
    <w:pPr>
      <w:widowControl w:val="0"/>
      <w:suppressAutoHyphens/>
      <w:spacing w:after="0" w:line="360" w:lineRule="auto"/>
    </w:pPr>
    <w:rPr>
      <w:rFonts w:ascii="Times New Roman" w:hAnsi="Times New Roman"/>
      <w:lang w:val="en-US"/>
    </w:rPr>
  </w:style>
  <w:style w:type="paragraph" w:customStyle="1" w:styleId="sctableln">
    <w:name w:val="sc_table_ln"/>
    <w:qFormat/>
    <w:rsid w:val="0082789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2789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2789A"/>
    <w:rPr>
      <w:strike/>
      <w:dstrike w:val="0"/>
    </w:rPr>
  </w:style>
  <w:style w:type="character" w:customStyle="1" w:styleId="scinsert">
    <w:name w:val="sc_insert"/>
    <w:uiPriority w:val="1"/>
    <w:qFormat/>
    <w:rsid w:val="0082789A"/>
    <w:rPr>
      <w:caps w:val="0"/>
      <w:smallCaps w:val="0"/>
      <w:strike w:val="0"/>
      <w:dstrike w:val="0"/>
      <w:vanish w:val="0"/>
      <w:u w:val="single"/>
      <w:vertAlign w:val="baseline"/>
    </w:rPr>
  </w:style>
  <w:style w:type="character" w:customStyle="1" w:styleId="scinsertred">
    <w:name w:val="sc_insert_red"/>
    <w:uiPriority w:val="1"/>
    <w:qFormat/>
    <w:rsid w:val="0082789A"/>
    <w:rPr>
      <w:caps w:val="0"/>
      <w:smallCaps w:val="0"/>
      <w:strike w:val="0"/>
      <w:dstrike w:val="0"/>
      <w:vanish w:val="0"/>
      <w:color w:val="FF0000"/>
      <w:u w:val="single"/>
      <w:vertAlign w:val="baseline"/>
    </w:rPr>
  </w:style>
  <w:style w:type="character" w:customStyle="1" w:styleId="scinsertblue">
    <w:name w:val="sc_insert_blue"/>
    <w:uiPriority w:val="1"/>
    <w:qFormat/>
    <w:rsid w:val="0082789A"/>
    <w:rPr>
      <w:caps w:val="0"/>
      <w:smallCaps w:val="0"/>
      <w:strike w:val="0"/>
      <w:dstrike w:val="0"/>
      <w:vanish w:val="0"/>
      <w:color w:val="0070C0"/>
      <w:u w:val="single"/>
      <w:vertAlign w:val="baseline"/>
    </w:rPr>
  </w:style>
  <w:style w:type="character" w:customStyle="1" w:styleId="scstrikered">
    <w:name w:val="sc_strike_red"/>
    <w:uiPriority w:val="1"/>
    <w:qFormat/>
    <w:rsid w:val="0082789A"/>
    <w:rPr>
      <w:strike/>
      <w:dstrike w:val="0"/>
      <w:color w:val="FF0000"/>
    </w:rPr>
  </w:style>
  <w:style w:type="character" w:customStyle="1" w:styleId="scstrikeblue">
    <w:name w:val="sc_strike_blue"/>
    <w:uiPriority w:val="1"/>
    <w:qFormat/>
    <w:rsid w:val="0082789A"/>
    <w:rPr>
      <w:strike/>
      <w:dstrike w:val="0"/>
      <w:color w:val="0070C0"/>
    </w:rPr>
  </w:style>
  <w:style w:type="character" w:customStyle="1" w:styleId="scinsertbluenounderline">
    <w:name w:val="sc_insert_blue_no_underline"/>
    <w:uiPriority w:val="1"/>
    <w:qFormat/>
    <w:rsid w:val="0082789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2789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2789A"/>
    <w:rPr>
      <w:strike/>
      <w:dstrike w:val="0"/>
      <w:color w:val="0070C0"/>
      <w:lang w:val="en-US"/>
    </w:rPr>
  </w:style>
  <w:style w:type="character" w:customStyle="1" w:styleId="scstrikerednoncodified">
    <w:name w:val="sc_strike_red_non_codified"/>
    <w:uiPriority w:val="1"/>
    <w:qFormat/>
    <w:rsid w:val="0082789A"/>
    <w:rPr>
      <w:strike/>
      <w:dstrike w:val="0"/>
      <w:color w:val="FF0000"/>
    </w:rPr>
  </w:style>
  <w:style w:type="paragraph" w:customStyle="1" w:styleId="scbillsiglines">
    <w:name w:val="sc_bill_sig_lines"/>
    <w:qFormat/>
    <w:rsid w:val="0082789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2789A"/>
    <w:rPr>
      <w:bdr w:val="none" w:sz="0" w:space="0" w:color="auto"/>
      <w:shd w:val="clear" w:color="auto" w:fill="FEC6C6"/>
    </w:rPr>
  </w:style>
  <w:style w:type="paragraph" w:styleId="Revision">
    <w:name w:val="Revision"/>
    <w:hidden/>
    <w:uiPriority w:val="99"/>
    <w:semiHidden/>
    <w:rsid w:val="00AD6D74"/>
    <w:pPr>
      <w:spacing w:after="0" w:line="240" w:lineRule="auto"/>
    </w:pPr>
    <w:rPr>
      <w:lang w:val="en-US"/>
    </w:rPr>
  </w:style>
  <w:style w:type="character" w:customStyle="1" w:styleId="screstoreblue">
    <w:name w:val="sc_restore_blue"/>
    <w:uiPriority w:val="1"/>
    <w:qFormat/>
    <w:rsid w:val="0082789A"/>
    <w:rPr>
      <w:color w:val="4472C4" w:themeColor="accent1"/>
      <w:bdr w:val="none" w:sz="0" w:space="0" w:color="auto"/>
      <w:shd w:val="clear" w:color="auto" w:fill="auto"/>
    </w:rPr>
  </w:style>
  <w:style w:type="character" w:customStyle="1" w:styleId="screstorered">
    <w:name w:val="sc_restore_red"/>
    <w:uiPriority w:val="1"/>
    <w:qFormat/>
    <w:rsid w:val="0082789A"/>
    <w:rPr>
      <w:color w:val="FF0000"/>
      <w:bdr w:val="none" w:sz="0" w:space="0" w:color="auto"/>
      <w:shd w:val="clear" w:color="auto" w:fill="auto"/>
    </w:rPr>
  </w:style>
  <w:style w:type="character" w:customStyle="1" w:styleId="scstrikenewblue">
    <w:name w:val="sc_strike_new_blue"/>
    <w:uiPriority w:val="1"/>
    <w:qFormat/>
    <w:rsid w:val="0082789A"/>
    <w:rPr>
      <w:strike w:val="0"/>
      <w:dstrike/>
      <w:color w:val="0070C0"/>
      <w:u w:val="none"/>
    </w:rPr>
  </w:style>
  <w:style w:type="character" w:customStyle="1" w:styleId="scstrikenewred">
    <w:name w:val="sc_strike_new_red"/>
    <w:uiPriority w:val="1"/>
    <w:qFormat/>
    <w:rsid w:val="0082789A"/>
    <w:rPr>
      <w:strike w:val="0"/>
      <w:dstrike/>
      <w:color w:val="FF0000"/>
      <w:u w:val="none"/>
    </w:rPr>
  </w:style>
  <w:style w:type="character" w:customStyle="1" w:styleId="scamendsenate">
    <w:name w:val="sc_amend_senate"/>
    <w:uiPriority w:val="1"/>
    <w:qFormat/>
    <w:rsid w:val="0082789A"/>
    <w:rPr>
      <w:bdr w:val="none" w:sz="0" w:space="0" w:color="auto"/>
      <w:shd w:val="clear" w:color="auto" w:fill="FFF2CC" w:themeFill="accent4" w:themeFillTint="33"/>
    </w:rPr>
  </w:style>
  <w:style w:type="character" w:customStyle="1" w:styleId="scamendhouse">
    <w:name w:val="sc_amend_house"/>
    <w:uiPriority w:val="1"/>
    <w:qFormat/>
    <w:rsid w:val="0082789A"/>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5257A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257A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257A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257A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257A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257A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257A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5257A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257A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257A9"/>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525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559&amp;session=125&amp;summary=B" TargetMode="External" Id="R5a69bf161cc94ee3" /><Relationship Type="http://schemas.openxmlformats.org/officeDocument/2006/relationships/hyperlink" Target="https://www.scstatehouse.gov/sess125_2023-2024/prever/4559_20231116.docx" TargetMode="External" Id="R51ddcf3d085243ef" /><Relationship Type="http://schemas.openxmlformats.org/officeDocument/2006/relationships/hyperlink" Target="https://www.scstatehouse.gov/sess125_2023-2024/prever/4559_20240320.docx" TargetMode="External" Id="Rf21ff3600026406f" /><Relationship Type="http://schemas.openxmlformats.org/officeDocument/2006/relationships/hyperlink" Target="https://www.scstatehouse.gov/sess125_2023-2024/prever/4559_20240321.docx" TargetMode="External" Id="Raac64e8c50154abc" /><Relationship Type="http://schemas.openxmlformats.org/officeDocument/2006/relationships/hyperlink" Target="h:\hj\20240109.docx" TargetMode="External" Id="Rac926a90191148d4" /><Relationship Type="http://schemas.openxmlformats.org/officeDocument/2006/relationships/hyperlink" Target="h:\hj\20240109.docx" TargetMode="External" Id="R9ed6f591670b4df0" /><Relationship Type="http://schemas.openxmlformats.org/officeDocument/2006/relationships/hyperlink" Target="h:\hj\20240320.docx" TargetMode="External" Id="R75742e93f8fd4221" /><Relationship Type="http://schemas.openxmlformats.org/officeDocument/2006/relationships/hyperlink" Target="h:\hj\20240326.docx" TargetMode="External" Id="R5b3b9d839fe74329" /><Relationship Type="http://schemas.openxmlformats.org/officeDocument/2006/relationships/hyperlink" Target="h:\hj\20240326.docx" TargetMode="External" Id="R26ef1a93f90d4ad1" /><Relationship Type="http://schemas.openxmlformats.org/officeDocument/2006/relationships/hyperlink" Target="h:\hj\20240327.docx" TargetMode="External" Id="Ra63eb343119f4be2" /><Relationship Type="http://schemas.openxmlformats.org/officeDocument/2006/relationships/hyperlink" Target="h:\sj\20240327.docx" TargetMode="External" Id="R014c7bd9de8c4ef7" /><Relationship Type="http://schemas.openxmlformats.org/officeDocument/2006/relationships/hyperlink" Target="h:\sj\20240327.docx" TargetMode="External" Id="R14d9098369434f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73330D5019843608ABBB4BA43EB78D0"/>
        <w:category>
          <w:name w:val="General"/>
          <w:gallery w:val="placeholder"/>
        </w:category>
        <w:types>
          <w:type w:val="bbPlcHdr"/>
        </w:types>
        <w:behaviors>
          <w:behavior w:val="content"/>
        </w:behaviors>
        <w:guid w:val="{4C9C9F63-0963-4C4E-BFD4-ADEA92F6C22B}"/>
      </w:docPartPr>
      <w:docPartBody>
        <w:p w:rsidR="00861638" w:rsidRDefault="00861638" w:rsidP="00861638">
          <w:pPr>
            <w:pStyle w:val="E73330D5019843608ABBB4BA43EB78D0"/>
          </w:pPr>
          <w:r w:rsidRPr="007B495D">
            <w:rPr>
              <w:rStyle w:val="PlaceholderText"/>
            </w:rPr>
            <w:t>Click or tap here to enter text.</w:t>
          </w:r>
        </w:p>
      </w:docPartBody>
    </w:docPart>
    <w:docPart>
      <w:docPartPr>
        <w:name w:val="C505644FF1994A7BAB00FF7AD9A2E7AD"/>
        <w:category>
          <w:name w:val="General"/>
          <w:gallery w:val="placeholder"/>
        </w:category>
        <w:types>
          <w:type w:val="bbPlcHdr"/>
        </w:types>
        <w:behaviors>
          <w:behavior w:val="content"/>
        </w:behaviors>
        <w:guid w:val="{B7C0762C-4BF3-4339-A3CC-385D14D00AEE}"/>
      </w:docPartPr>
      <w:docPartBody>
        <w:p w:rsidR="00861638" w:rsidRDefault="00861638" w:rsidP="00861638">
          <w:pPr>
            <w:pStyle w:val="C505644FF1994A7BAB00FF7AD9A2E7A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61638"/>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1638"/>
    <w:rPr>
      <w:color w:val="808080"/>
    </w:rPr>
  </w:style>
  <w:style w:type="paragraph" w:customStyle="1" w:styleId="E73330D5019843608ABBB4BA43EB78D0">
    <w:name w:val="E73330D5019843608ABBB4BA43EB78D0"/>
    <w:rsid w:val="00861638"/>
    <w:rPr>
      <w:kern w:val="2"/>
      <w14:ligatures w14:val="standardContextual"/>
    </w:rPr>
  </w:style>
  <w:style w:type="paragraph" w:customStyle="1" w:styleId="C505644FF1994A7BAB00FF7AD9A2E7AD">
    <w:name w:val="C505644FF1994A7BAB00FF7AD9A2E7AD"/>
    <w:rsid w:val="0086163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bca60c52-ef7e-400b-916b-c342bf8e3c8b</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698dd9dc-b4e4-42e0-be64-921910d26a2e</T_BILL_REQUEST_REQUEST>
  <T_BILL_R_ORIGINALDRAFT>7cf7ba70-cdc1-4e13-94cd-9186b08da0d0</T_BILL_R_ORIGINALDRAFT>
  <T_BILL_SPONSOR_SPONSOR>52d5e910-611a-42c5-8c5e-1424bea92ebc</T_BILL_SPONSOR_SPONSOR>
  <T_BILL_T_BILLNAME>[4559]</T_BILL_T_BILLNAME>
  <T_BILL_T_BILLNUMBER>4559</T_BILL_T_BILLNUMBER>
  <T_BILL_T_BILLTITLE>TO AMEND THE SOUTH CAROLINA CODE OF LAWS BY AMENDING SECTION 62-3-108, RELATING TO PROBATE, TESTACY, AND APPOINTMENT PROCEEDINGS AND THE ULTIMATE TIME LIMIT, SO AS TO ALLOW APPROPRIATE APPOINTMENT PROCEEDINGS REGARDING AN INDIVIDUAL'S ESTATE FOR THE SOLE PURPOSE OF ALLOWING A CLAIM TO BE MADE PURSUANT TO THE “HONORING OUR PACT ACT OF 2022” REGARDLESS OF THE DATE OF THAT INDIVIDUAL’S DEATH.</T_BILL_T_BILLTITLE>
  <T_BILL_T_CHAMBER>house</T_BILL_T_CHAMBER>
  <T_BILL_T_FILENAME> </T_BILL_T_FILENAME>
  <T_BILL_T_LEGTYPE>bill_statewide</T_BILL_T_LEGTYPE>
  <T_BILL_T_SECTIONS>[{"SectionUUID":"91d4c3e6-e36f-4957-b558-565a443bd407","SectionName":"code_section","SectionNumber":1,"SectionType":"code_section","CodeSections":[{"CodeSectionBookmarkName":"cs_T62C3N108_cce5e0b03","IsConstitutionSection":false,"Identity":"62-3-108","IsNew":false,"SubSections":[{"Level":1,"Identity":"T62C3N108SA","SubSectionBookmarkName":"ss_T62C3N108SA_lv1_521b59e8e","IsNewSubSection":false,"SubSectionReplacement":""},{"Level":1,"Identity":"T62C3N108SB","SubSectionBookmarkName":"ss_T62C3N108SB_lv1_f98ab33b0","IsNewSubSection":false,"SubSectionReplacement":""},{"Level":2,"Identity":"T62C3N108S1","SubSectionBookmarkName":"ss_T62C3N108S1_lv2_2b4cf4ad2","IsNewSubSection":false,"SubSectionReplacement":""},{"Level":2,"Identity":"T62C3N108S2","SubSectionBookmarkName":"ss_T62C3N108S2_lv2_4f5732db2","IsNewSubSection":false,"SubSectionReplacement":""},{"Level":3,"Identity":"T62C3N108Sa","SubSectionBookmarkName":"ss_T62C3N108Sa_lv3_310636457","IsNewSubSection":false,"SubSectionReplacement":""},{"Level":3,"Identity":"T62C3N108Sb","SubSectionBookmarkName":"ss_T62C3N108Sb_lv3_7dc95827d","IsNewSubSection":false,"SubSectionReplacement":""},{"Level":3,"Identity":"T62C3N108Sc","SubSectionBookmarkName":"ss_T62C3N108Sc_lv3_9daf18859","IsNewSubSection":false,"SubSectionReplacement":""},{"Level":3,"Identity":"T62C3N108Sd","SubSectionBookmarkName":"ss_T62C3N108Sd_lv3_3c9c057e9","IsNewSubSection":false,"SubSectionReplacement":""}],"TitleRelatedTo":"Probate, testacy, and appointment proceedings and the ultimate time limit","TitleSoAsTo":"allow appropriate appointment proceedings regarding an individual's estate for the sole purpose of allowing a claim to be made pursuant to the \"Honoring our PACT Act of 2022\" regardless of the date of that individuals' death","Deleted":false}],"TitleText":"","DisableControls":false,"Deleted":false,"RepealItems":[],"SectionBookmarkName":"bs_num_1_311e0de31"},{"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91d4c3e6-e36f-4957-b558-565a443bd407","SectionName":"code_section","SectionNumber":1,"SectionType":"code_section","CodeSections":[{"CodeSectionBookmarkName":"cs_T62C3N108_cce5e0b03","IsConstitutionSection":false,"Identity":"62-3-108","IsNew":false,"SubSections":[{"Level":1,"Identity":"T62C3N108SA","SubSectionBookmarkName":"ss_T62C3N108SA_lv1_d1aa0ed8d","IsNewSubSection":false,"SubSectionReplacement":""},{"Level":1,"Identity":"T62C3N108SB","SubSectionBookmarkName":"ss_T62C3N108SB_lv1_f310dab2d","IsNewSubSection":false,"SubSectionReplacement":""}],"TitleRelatedTo":"Probate, testacy, and appointment proceedings and the ultimate time limit","TitleSoAsTo":"allow appropriate appointment proceedings regarding an individual's estate for the sole purpose of allowing a claim to be made pursuant to the \"Honoring our PACT Act of 2022\" regarldess of the date of that individuals' death","Deleted":false}],"TitleText":"","DisableControls":false,"Deleted":false,"RepealItems":[],"SectionBookmarkName":"bs_num_1_311e0de31"},{"SectionUUID":"8f03ca95-8faa-4d43-a9c2-8afc498075bd","SectionName":"standard_eff_date_section","SectionNumber":2,"SectionType":"drafting_clause","CodeSections":[],"TitleText":"","DisableControls":false,"Deleted":false,"RepealItems":[],"SectionBookmarkName":"bs_num_2_lastsection"}],"Timestamp":"2023-10-02T12:39:12.4586864-04:00","Username":null},{"Id":1,"SectionsList":[{"SectionUUID":"8f03ca95-8faa-4d43-a9c2-8afc498075bd","SectionName":"standard_eff_date_section","SectionNumber":2,"SectionType":"drafting_clause","CodeSections":[],"TitleText":"","DisableControls":false,"Deleted":false,"RepealItems":[],"SectionBookmarkName":"bs_num_2_lastsection"},{"SectionUUID":"91d4c3e6-e36f-4957-b558-565a443bd407","SectionName":"code_section","SectionNumber":1,"SectionType":"code_section","CodeSections":[{"CodeSectionBookmarkName":"cs_T62C3N108_cce5e0b03","IsConstitutionSection":false,"Identity":"62-3-108","IsNew":false,"SubSections":[{"Level":1,"Identity":"T62C3N108SA","SubSectionBookmarkName":"ss_T62C3N108SA_lv1_d1aa0ed8d","IsNewSubSection":false,"SubSectionReplacement":""},{"Level":1,"Identity":"T62C3N108SB","SubSectionBookmarkName":"ss_T62C3N108SB_lv1_f310dab2d","IsNewSubSection":false,"SubSectionReplacement":""}],"TitleRelatedTo":"Probate, testacy, and appointment proceedings;  ultimate time limit.","TitleSoAsTo":"","Deleted":false}],"TitleText":"","DisableControls":false,"Deleted":false,"RepealItems":[],"SectionBookmarkName":"bs_num_1_311e0de31"}],"Timestamp":"2023-10-02T11:33:38.1738515-04:00","Username":null},{"Id":3,"SectionsList":[{"SectionUUID":"91d4c3e6-e36f-4957-b558-565a443bd407","SectionName":"code_section","SectionNumber":1,"SectionType":"code_section","CodeSections":[{"CodeSectionBookmarkName":"cs_T62C3N108_cce5e0b03","IsConstitutionSection":false,"Identity":"62-3-108","IsNew":false,"SubSections":[{"Level":1,"Identity":"T62C3N108SA","SubSectionBookmarkName":"ss_T62C3N108SA_lv1_d1aa0ed8d","IsNewSubSection":false,"SubSectionReplacement":""},{"Level":1,"Identity":"T62C3N108SB","SubSectionBookmarkName":"ss_T62C3N108SB_lv1_f310dab2d","IsNewSubSection":false,"SubSectionReplacement":""}],"TitleRelatedTo":"Probate, testacy, and appointment proceedings and the ultimate time limit","TitleSoAsTo":"allow appropriate appointment proceedings regarding an individual's estate for the sole purpose of allowing a claim to be made pursuant to the \"Honoring our PACT Act of 2022\" regardless of the date of that individuals' death","Deleted":false}],"TitleText":"","DisableControls":false,"Deleted":false,"RepealItems":[],"SectionBookmarkName":"bs_num_1_311e0de31"},{"SectionUUID":"8f03ca95-8faa-4d43-a9c2-8afc498075bd","SectionName":"standard_eff_date_section","SectionNumber":2,"SectionType":"drafting_clause","CodeSections":[],"TitleText":"","DisableControls":false,"Deleted":false,"RepealItems":[],"SectionBookmarkName":"bs_num_2_lastsection"}],"Timestamp":"2023-10-02T12:39:31.610213-04:00","Username":"heatheranderson@scstatehouse.gov"}]</T_BILL_T_SECTIONSHISTORY>
  <T_BILL_T_SUBJECT>Probate Representative</T_BILL_T_SUBJECT>
  <T_BILL_UR_DRAFTER>heatheranderson@scstatehouse.gov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803</Words>
  <Characters>4234</Characters>
  <Application>Microsoft Office Word</Application>
  <DocSecurity>0</DocSecurity>
  <Lines>101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dcterms:created xsi:type="dcterms:W3CDTF">2024-03-20T20:41:00Z</dcterms:created>
  <dcterms:modified xsi:type="dcterms:W3CDTF">2024-03-21T15:25:00Z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