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845, 869, 4559</w:t>
      </w:r>
    </w:p>
    <w:p>
      <w:pPr>
        <w:widowControl w:val="false"/>
        <w:spacing w:after="0"/>
        <w:jc w:val="left"/>
      </w:pPr>
      <w:r>
        <w:rPr>
          <w:rFonts w:ascii="Times New Roman"/>
          <w:sz w:val="22"/>
        </w:rPr>
        <w:t xml:space="preserve">Document Path: SR-0455KM23.docx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Probate Judges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53db2cc6d104bc2">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9e0993a67d7c45ba">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spacing w:after="0"/>
        <w:jc w:val="left"/>
      </w:pPr>
    </w:p>
    <w:p>
      <w:pPr>
        <w:widowControl w:val="false"/>
        <w:spacing w:after="0"/>
        <w:jc w:val="left"/>
      </w:pPr>
      <w:r>
        <w:rPr>
          <w:rFonts w:ascii="Times New Roman"/>
          <w:sz w:val="22"/>
        </w:rPr>
        <w:t xml:space="preserve">View the latest </w:t>
      </w:r>
      <w:hyperlink r:id="R807941229ee449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109f19ec554a60">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24ED" w14:paraId="40FEFADA" w14:textId="413F10A0">
          <w:pPr>
            <w:pStyle w:val="scbilltitle"/>
            <w:tabs>
              <w:tab w:val="left" w:pos="2104"/>
            </w:tabs>
          </w:pPr>
          <w:r>
            <w:t>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w:t>
          </w:r>
        </w:p>
      </w:sdtContent>
    </w:sdt>
    <w:bookmarkStart w:name="at_963a1f7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9927c8f" w:id="1"/>
      <w:r w:rsidRPr="0094541D">
        <w:t>B</w:t>
      </w:r>
      <w:bookmarkEnd w:id="1"/>
      <w:r w:rsidRPr="0094541D">
        <w:t>e it enacted by the General Assembly of the State of South Carolina:</w:t>
      </w:r>
    </w:p>
    <w:p w:rsidR="004305A2" w:rsidP="004305A2" w:rsidRDefault="004305A2" w14:paraId="21B3729B" w14:textId="77777777">
      <w:pPr>
        <w:pStyle w:val="scemptyline"/>
      </w:pPr>
    </w:p>
    <w:p w:rsidR="004305A2" w:rsidP="004305A2" w:rsidRDefault="004305A2" w14:paraId="73403356" w14:textId="77777777">
      <w:pPr>
        <w:pStyle w:val="scdirectionallanguage"/>
      </w:pPr>
      <w:bookmarkStart w:name="bs_num_1_82d2eb588" w:id="2"/>
      <w:r>
        <w:t>S</w:t>
      </w:r>
      <w:bookmarkEnd w:id="2"/>
      <w:r>
        <w:t>ECTION 1.</w:t>
      </w:r>
      <w:r>
        <w:tab/>
      </w:r>
      <w:bookmarkStart w:name="dl_058b8cc39" w:id="3"/>
      <w:r>
        <w:t>S</w:t>
      </w:r>
      <w:bookmarkEnd w:id="3"/>
      <w:r>
        <w:t>ection 62‑3‑108 of the S.C. Code is amended to read:</w:t>
      </w:r>
    </w:p>
    <w:p w:rsidR="004305A2" w:rsidP="004305A2" w:rsidRDefault="004305A2" w14:paraId="37FF0EED" w14:textId="77777777">
      <w:pPr>
        <w:pStyle w:val="scemptyline"/>
      </w:pPr>
    </w:p>
    <w:p w:rsidR="004305A2" w:rsidP="004305A2" w:rsidRDefault="004305A2" w14:paraId="79AB886F" w14:textId="77777777">
      <w:pPr>
        <w:pStyle w:val="sccodifiedsection"/>
      </w:pPr>
      <w:r>
        <w:tab/>
      </w:r>
      <w:bookmarkStart w:name="cs_T62C3N108_50a0ddaa3" w:id="4"/>
      <w:r>
        <w:t>S</w:t>
      </w:r>
      <w:bookmarkEnd w:id="4"/>
      <w:r>
        <w:t>ection 62‑3‑108.</w:t>
      </w:r>
      <w:r>
        <w:tab/>
      </w:r>
      <w:bookmarkStart w:name="up_81f46dd79" w:id="5"/>
      <w:r>
        <w:t>(</w:t>
      </w:r>
      <w:bookmarkEnd w:id="5"/>
      <w:r>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4305A2" w:rsidP="004305A2" w:rsidRDefault="004305A2" w14:paraId="7DB91234" w14:textId="77777777">
      <w:pPr>
        <w:pStyle w:val="sccodifiedsection"/>
      </w:pPr>
      <w:r>
        <w:tab/>
      </w:r>
      <w:r>
        <w:tab/>
      </w:r>
      <w:bookmarkStart w:name="ss_T62C3N108S2_lv1_d76fe350e" w:id="6"/>
      <w:r>
        <w:t>(</w:t>
      </w:r>
      <w:bookmarkEnd w:id="6"/>
      <w:r>
        <w:t>2) Notwithstanding any other provision of this section:</w:t>
      </w:r>
    </w:p>
    <w:p w:rsidR="004305A2" w:rsidP="004305A2" w:rsidRDefault="004305A2" w14:paraId="450640B1" w14:textId="77777777">
      <w:pPr>
        <w:pStyle w:val="sccodifiedsection"/>
      </w:pPr>
      <w:r>
        <w:tab/>
      </w:r>
      <w:r>
        <w:tab/>
      </w:r>
      <w:r>
        <w:tab/>
      </w:r>
      <w:bookmarkStart w:name="ss_T62C3N108Sa_lv2_ba24c96ff" w:id="7"/>
      <w:r>
        <w:t>(</w:t>
      </w:r>
      <w:bookmarkEnd w:id="7"/>
      <w:r>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p>
    <w:p w:rsidR="004305A2" w:rsidP="004305A2" w:rsidRDefault="004305A2" w14:paraId="4541254B" w14:textId="56CC59B2">
      <w:pPr>
        <w:pStyle w:val="sccodifiedsection"/>
      </w:pPr>
      <w:r>
        <w:tab/>
      </w:r>
      <w:r>
        <w:tab/>
      </w:r>
      <w:r>
        <w:tab/>
      </w:r>
      <w:bookmarkStart w:name="ss_T62C3N108Sb_lv2_f4e6d3c07" w:id="8"/>
      <w:r>
        <w:t>(</w:t>
      </w:r>
      <w:bookmarkEnd w:id="8"/>
      <w:r>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w:t>
      </w:r>
      <w:r>
        <w:rPr>
          <w:rStyle w:val="scstrike"/>
        </w:rPr>
        <w:t xml:space="preserve">  and</w:t>
      </w:r>
    </w:p>
    <w:p w:rsidR="004305A2" w:rsidP="004305A2" w:rsidRDefault="004305A2" w14:paraId="3A50B7F7" w14:textId="14E86F48">
      <w:pPr>
        <w:pStyle w:val="sccodifiedsection"/>
      </w:pPr>
      <w:r>
        <w:tab/>
      </w:r>
      <w:r>
        <w:tab/>
      </w:r>
      <w:r>
        <w:tab/>
      </w:r>
      <w:bookmarkStart w:name="ss_T62C3N108Sc_lv2_3442129d4" w:id="9"/>
      <w:r>
        <w:t>(</w:t>
      </w:r>
      <w:bookmarkEnd w:id="9"/>
      <w:r>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r>
        <w:rPr>
          <w:rStyle w:val="scstrike"/>
        </w:rPr>
        <w:t>.</w:t>
      </w:r>
      <w:r w:rsidR="00EA24ED">
        <w:rPr>
          <w:rStyle w:val="scinsert"/>
        </w:rPr>
        <w:t>; and</w:t>
      </w:r>
    </w:p>
    <w:p w:rsidR="00EA24ED" w:rsidP="004305A2" w:rsidRDefault="00EA24ED" w14:paraId="5DE102F3" w14:textId="5FD76196">
      <w:pPr>
        <w:pStyle w:val="sccodifiedsection"/>
      </w:pPr>
      <w:r>
        <w:rPr>
          <w:rStyle w:val="scinsert"/>
        </w:rPr>
        <w:tab/>
      </w:r>
      <w:r>
        <w:rPr>
          <w:rStyle w:val="scinsert"/>
        </w:rPr>
        <w:tab/>
      </w:r>
      <w:r>
        <w:rPr>
          <w:rStyle w:val="scinsert"/>
        </w:rPr>
        <w:tab/>
      </w:r>
      <w:bookmarkStart w:name="ss_T62C3N108Sd_lv2_c5091b7b0" w:id="10"/>
      <w:r>
        <w:rPr>
          <w:rStyle w:val="scinsert"/>
        </w:rPr>
        <w:t>(</w:t>
      </w:r>
      <w:bookmarkEnd w:id="10"/>
      <w:r>
        <w:rPr>
          <w:rStyle w:val="scinsert"/>
        </w:rPr>
        <w:t xml:space="preserve">d) </w:t>
      </w:r>
      <w:r w:rsidRPr="00EC70CE">
        <w:rPr>
          <w:rStyle w:val="scinsert"/>
        </w:rPr>
        <w:t>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w:t>
      </w:r>
      <w:r w:rsidR="003C5EA0">
        <w:rPr>
          <w:rStyle w:val="scinsert"/>
        </w:rPr>
        <w:t>,</w:t>
      </w:r>
      <w:r w:rsidRPr="00EC70CE">
        <w:rPr>
          <w:rStyle w:val="scinsert"/>
        </w:rPr>
        <w:t>’’ United States Public Law 117‑168, as amended, regardless of the date of that individual’s death.</w:t>
      </w:r>
    </w:p>
    <w:p w:rsidR="004305A2" w:rsidP="004305A2" w:rsidRDefault="004305A2" w14:paraId="505F930C" w14:textId="2F4FB5D3">
      <w:pPr>
        <w:pStyle w:val="sccodifiedsection"/>
      </w:pPr>
      <w:r>
        <w:lastRenderedPageBreak/>
        <w:tab/>
      </w:r>
      <w:bookmarkStart w:name="ss_T62C3N108SB_lv3_8b962df8d" w:id="11"/>
      <w:r>
        <w:t>(</w:t>
      </w:r>
      <w:bookmarkEnd w:id="11"/>
      <w:r>
        <w:t>B) If no informal probate and no formal testacy proceedings are commenced within ten years after the decedent's death, and no proceedings under subsection (A)(2)</w:t>
      </w:r>
      <w:r>
        <w:rPr>
          <w:rStyle w:val="scstrike"/>
        </w:rPr>
        <w:t>(b)</w:t>
      </w:r>
      <w:r>
        <w:t xml:space="preserve"> are commenced within the applicable period of </w:t>
      </w:r>
      <w:r>
        <w:rPr>
          <w:rStyle w:val="scstrike"/>
        </w:rPr>
        <w:t>three years</w:t>
      </w:r>
      <w:r w:rsidR="00EA24ED">
        <w:rPr>
          <w:rStyle w:val="scinsert"/>
        </w:rPr>
        <w:t>time</w:t>
      </w:r>
      <w:r>
        <w:t>,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Pr="00DF3B44" w:rsidR="007E06BB" w:rsidP="00787433" w:rsidRDefault="007E06BB" w14:paraId="3D8F1FED" w14:textId="7C407899">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75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2322FD" w:rsidR="00685035" w:rsidRPr="007B4AF7" w:rsidRDefault="001040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05A2">
              <w:rPr>
                <w:noProof/>
              </w:rPr>
              <w:t>SR-0455KM23.docx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43A0"/>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76F2"/>
    <w:rsid w:val="003C3E2E"/>
    <w:rsid w:val="003C5EA0"/>
    <w:rsid w:val="003D4A3C"/>
    <w:rsid w:val="003D55B2"/>
    <w:rsid w:val="003E0033"/>
    <w:rsid w:val="003E5452"/>
    <w:rsid w:val="003E7165"/>
    <w:rsid w:val="003E7FF6"/>
    <w:rsid w:val="004046B5"/>
    <w:rsid w:val="00406F27"/>
    <w:rsid w:val="004141B8"/>
    <w:rsid w:val="004203B9"/>
    <w:rsid w:val="00427B5A"/>
    <w:rsid w:val="004305A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A3E"/>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4B9"/>
    <w:rsid w:val="00782BF8"/>
    <w:rsid w:val="00783C75"/>
    <w:rsid w:val="007849D9"/>
    <w:rsid w:val="00787433"/>
    <w:rsid w:val="007A10F1"/>
    <w:rsid w:val="007A3D50"/>
    <w:rsid w:val="007A75E7"/>
    <w:rsid w:val="007B2D29"/>
    <w:rsid w:val="007B412F"/>
    <w:rsid w:val="007B4AF7"/>
    <w:rsid w:val="007B4DBF"/>
    <w:rsid w:val="007C4D60"/>
    <w:rsid w:val="007C5458"/>
    <w:rsid w:val="007D2C67"/>
    <w:rsid w:val="007E06BB"/>
    <w:rsid w:val="007E7FF2"/>
    <w:rsid w:val="007F50D1"/>
    <w:rsid w:val="00816D52"/>
    <w:rsid w:val="00831048"/>
    <w:rsid w:val="00834272"/>
    <w:rsid w:val="008625C1"/>
    <w:rsid w:val="008806F9"/>
    <w:rsid w:val="008A57E3"/>
    <w:rsid w:val="008B5BF4"/>
    <w:rsid w:val="008C0CEE"/>
    <w:rsid w:val="008C1B18"/>
    <w:rsid w:val="008D46EC"/>
    <w:rsid w:val="008E0E25"/>
    <w:rsid w:val="008E61A1"/>
    <w:rsid w:val="0090424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92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4E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A24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0&amp;session=125&amp;summary=B" TargetMode="External" Id="R807941229ee44939" /><Relationship Type="http://schemas.openxmlformats.org/officeDocument/2006/relationships/hyperlink" Target="https://www.scstatehouse.gov/sess125_2023-2024/prever/850_20231130.docx" TargetMode="External" Id="R99109f19ec554a60" /><Relationship Type="http://schemas.openxmlformats.org/officeDocument/2006/relationships/hyperlink" Target="h:\sj\20240109.docx" TargetMode="External" Id="R253db2cc6d104bc2" /><Relationship Type="http://schemas.openxmlformats.org/officeDocument/2006/relationships/hyperlink" Target="h:\sj\20240109.docx" TargetMode="External" Id="R9e0993a67d7c45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23d1a506-0b9c-455b-b91b-6c5edd883fbb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f659d0c3-f53d-4a12-8573-50010fc2beb1</T_BILL_REQUEST_REQUEST>
  <T_BILL_R_ORIGINALDRAFT>e11113f9-df67-4b23-ab50-febffa637229</T_BILL_R_ORIGINALDRAFT>
  <T_BILL_SPONSOR_SPONSOR>bda4f41e-b962-448d-812d-fcf76518e535</T_BILL_SPONSOR_SPONSOR>
  <T_BILL_T_BILLNAME>[0850]</T_BILL_T_BILLNAME>
  <T_BILL_T_BILLNUMBER>850</T_BILL_T_BILLNUMBER>
  <T_BILL_T_BILLTITLE>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T_BILL_T_BILLTITLE>
  <T_BILL_T_CHAMBER>senate</T_BILL_T_CHAMBER>
  <T_BILL_T_FILENAME> </T_BILL_T_FILENAME>
  <T_BILL_T_LEGTYPE>bill_statewide</T_BILL_T_LEGTYPE>
  <T_BILL_T_SECTIONS>[{"SectionUUID":"193adb14-99e3-4611-a394-a55807f8fe70","SectionName":"code_section","SectionNumber":1,"SectionType":"code_section","CodeSections":[{"CodeSectionBookmarkName":"cs_T62C3N108_50a0ddaa3","IsConstitutionSection":false,"Identity":"62-3-108","IsNew":false,"SubSections":[{"Level":3,"Identity":"T62C3N108SB","SubSectionBookmarkName":"ss_T62C3N108SB_lv3_8b962df8d","IsNewSubSection":false,"SubSectionReplacement":""},{"Level":1,"Identity":"T62C3N108S2","SubSectionBookmarkName":"ss_T62C3N108S2_lv1_d76fe350e","IsNewSubSection":false,"SubSectionReplacement":""},{"Level":2,"Identity":"T62C3N108Sa","SubSectionBookmarkName":"ss_T62C3N108Sa_lv2_ba24c96ff","IsNewSubSection":false,"SubSectionReplacement":""},{"Level":2,"Identity":"T62C3N108Sb","SubSectionBookmarkName":"ss_T62C3N108Sb_lv2_f4e6d3c07","IsNewSubSection":false,"SubSectionReplacement":""},{"Level":2,"Identity":"T62C3N108Sc","SubSectionBookmarkName":"ss_T62C3N108Sc_lv2_3442129d4","IsNewSubSection":false,"SubSectionReplacement":""},{"Level":2,"Identity":"T62C3N108Sd","SubSectionBookmarkName":"ss_T62C3N108Sd_lv2_c5091b7b0","IsNewSubSection":false,"SubSectionReplacement":""}],"TitleRelatedTo":"Probate, testacy, and appointment proceedings and ultimate time limit","TitleSoAsTo":"PROVIDE THAT APPOINTMENT PROCEEDINGS MAY BE MAINTAINED IN RELATION TO THE ESTATE OF AN INDIVIDUAL PURSUANT TO SECTION 804 OF THE “HONORING OUR PACT ACT OF 2022”","Deleted":false}],"TitleText":"","DisableControls":false,"Deleted":false,"RepealItems":[],"SectionBookmarkName":"bs_num_1_82d2eb588"},{"SectionUUID":"8f03ca95-8faa-4d43-a9c2-8afc498075bd","SectionName":"standard_eff_date_section","SectionNumber":2,"SectionType":"drafting_clause","CodeSections":[],"TitleText":"","DisableControls":false,"Deleted":false,"RepealItems":[],"SectionBookmarkName":"bs_num_2_lastsection"}]</T_BILL_T_SECTIONS>
  <T_BILL_T_SUBJECT>Probate Judges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2691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2023-11-29T19:10:00Z</dcterms:created>
  <dcterms:modified xsi:type="dcterms:W3CDTF">2023-11-29T19:10:00Z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