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2279">
        <w:rPr>
          <w:lang w:val="en-PH"/>
        </w:rPr>
        <w:t>CHAPTER 5</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2279">
        <w:rPr>
          <w:lang w:val="en-PH"/>
        </w:rPr>
        <w:t>Property Rights of Married Women</w:t>
      </w:r>
      <w:bookmarkStart w:id="0" w:name="_GoBack"/>
      <w:bookmarkEnd w:id="0"/>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10.</w:t>
      </w:r>
      <w:r w:rsidR="008F348D" w:rsidRPr="00AD2279">
        <w:rPr>
          <w:lang w:val="en-PH"/>
        </w:rPr>
        <w:t xml:space="preserve"> Powers of wife as to property and contracts generally.</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201;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201; 1942 Code </w:t>
      </w:r>
      <w:r w:rsidRPr="00AD2279">
        <w:rPr>
          <w:lang w:val="en-PH"/>
        </w:rPr>
        <w:t xml:space="preserve">Section </w:t>
      </w:r>
      <w:r w:rsidR="008F348D" w:rsidRPr="00AD2279">
        <w:rPr>
          <w:lang w:val="en-PH"/>
        </w:rPr>
        <w:t xml:space="preserve">8575; 1932 Code </w:t>
      </w:r>
      <w:r w:rsidRPr="00AD2279">
        <w:rPr>
          <w:lang w:val="en-PH"/>
        </w:rPr>
        <w:t xml:space="preserve">Section </w:t>
      </w:r>
      <w:r w:rsidR="008F348D" w:rsidRPr="00AD2279">
        <w:rPr>
          <w:lang w:val="en-PH"/>
        </w:rPr>
        <w:t xml:space="preserve">8575;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5540;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3761;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 xml:space="preserve">2668; G. S. 2037; R. S. 2167; 1897 (20) 1121; Const. 1895 Art. 17 </w:t>
      </w:r>
      <w:r w:rsidRPr="00AD2279">
        <w:rPr>
          <w:lang w:val="en-PH"/>
        </w:rPr>
        <w:t xml:space="preserve">Section </w:t>
      </w:r>
      <w:r w:rsidR="008F348D" w:rsidRPr="00AD2279">
        <w:rPr>
          <w:lang w:val="en-PH"/>
        </w:rPr>
        <w:t>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Actions by and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5</w:t>
      </w:r>
      <w:r w:rsidR="00AD2279" w:rsidRPr="00AD2279">
        <w:rPr>
          <w:lang w:val="en-PH"/>
        </w:rPr>
        <w:noBreakHyphen/>
      </w:r>
      <w:r w:rsidRPr="00AD2279">
        <w:rPr>
          <w:lang w:val="en-PH"/>
        </w:rPr>
        <w:t>170.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Constitutional provision in regard to separate property and power to contract of married women, see SC Const, Art XVII, </w:t>
      </w:r>
      <w:r w:rsidR="00AD2279" w:rsidRPr="00AD2279">
        <w:rPr>
          <w:lang w:val="en-PH"/>
        </w:rPr>
        <w:t xml:space="preserve">Section </w:t>
      </w:r>
      <w:r w:rsidRPr="00AD2279">
        <w:rPr>
          <w:lang w:val="en-PH"/>
        </w:rPr>
        <w:t>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Executions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39</w:t>
      </w:r>
      <w:r w:rsidR="00AD2279" w:rsidRPr="00AD2279">
        <w:rPr>
          <w:lang w:val="en-PH"/>
        </w:rPr>
        <w:noBreakHyphen/>
      </w:r>
      <w:r w:rsidRPr="00AD2279">
        <w:rPr>
          <w:lang w:val="en-PH"/>
        </w:rPr>
        <w:t>60.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Provisions relative to equitable apportionment of marital property, see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3</w:t>
      </w:r>
      <w:r w:rsidR="00AD2279" w:rsidRPr="00AD2279">
        <w:rPr>
          <w:lang w:val="en-PH"/>
        </w:rPr>
        <w:noBreakHyphen/>
      </w:r>
      <w:r w:rsidRPr="00AD2279">
        <w:rPr>
          <w:lang w:val="en-PH"/>
        </w:rPr>
        <w:t>610 et seq.</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Recovery of damages and costs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35</w:t>
      </w:r>
      <w:r w:rsidR="00AD2279" w:rsidRPr="00AD2279">
        <w:rPr>
          <w:lang w:val="en-PH"/>
        </w:rPr>
        <w:noBreakHyphen/>
      </w:r>
      <w:r w:rsidRPr="00AD2279">
        <w:rPr>
          <w:lang w:val="en-PH"/>
        </w:rPr>
        <w:t>160.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68, 79.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RESEARCH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Encyclopedias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S.C. Jur. Criminal Conversation </w:t>
      </w:r>
      <w:r w:rsidR="00AD2279" w:rsidRPr="00AD2279">
        <w:rPr>
          <w:lang w:val="en-PH"/>
        </w:rPr>
        <w:t xml:space="preserve">Section </w:t>
      </w:r>
      <w:r w:rsidRPr="00AD2279">
        <w:rPr>
          <w:lang w:val="en-PH"/>
        </w:rPr>
        <w:t>2, Historical Background.</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Forms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Am. Jur. Pl. &amp; Pr. Forms Husband and Wife </w:t>
      </w:r>
      <w:r w:rsidR="00AD2279" w:rsidRPr="00AD2279">
        <w:rPr>
          <w:lang w:val="en-PH"/>
        </w:rPr>
        <w:t xml:space="preserve">Section </w:t>
      </w:r>
      <w:r w:rsidRPr="00AD2279">
        <w:rPr>
          <w:lang w:val="en-PH"/>
        </w:rPr>
        <w:t>1 , Introductory Comments.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Am. Jur. Pl. &amp; Pr. Forms Husband and Wife </w:t>
      </w:r>
      <w:r w:rsidR="00AD2279" w:rsidRPr="00AD2279">
        <w:rPr>
          <w:lang w:val="en-PH"/>
        </w:rPr>
        <w:t xml:space="preserve">Section </w:t>
      </w:r>
      <w:r w:rsidRPr="00AD2279">
        <w:rPr>
          <w:lang w:val="en-PH"/>
        </w:rPr>
        <w:t>2 , Introductory Comments.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Treatises and Practice Aids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Family Estate Planning Guide </w:t>
      </w:r>
      <w:r w:rsidR="00AD2279" w:rsidRPr="00AD2279">
        <w:rPr>
          <w:lang w:val="en-PH"/>
        </w:rPr>
        <w:t xml:space="preserve">Section </w:t>
      </w:r>
      <w:r w:rsidRPr="00AD2279">
        <w:rPr>
          <w:lang w:val="en-PH"/>
        </w:rPr>
        <w:t>18:8, Divorce Agreements</w:t>
      </w:r>
      <w:r w:rsidR="00AD2279" w:rsidRPr="00AD2279">
        <w:rPr>
          <w:lang w:val="en-PH"/>
        </w:rPr>
        <w:noBreakHyphen/>
      </w:r>
      <w:r w:rsidRPr="00AD2279">
        <w:rPr>
          <w:lang w:val="en-PH"/>
        </w:rPr>
        <w:t>Post</w:t>
      </w:r>
      <w:r w:rsidR="00AD2279" w:rsidRPr="00AD2279">
        <w:rPr>
          <w:lang w:val="en-PH"/>
        </w:rPr>
        <w:noBreakHyphen/>
      </w:r>
      <w:r w:rsidRPr="00AD2279">
        <w:rPr>
          <w:lang w:val="en-PH"/>
        </w:rPr>
        <w:t>Nuptial Agreements.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Res. Mort. Lend. State Reg. Man. South Eastern SC </w:t>
      </w:r>
      <w:r w:rsidR="00AD2279" w:rsidRPr="00AD2279">
        <w:rPr>
          <w:lang w:val="en-PH"/>
        </w:rPr>
        <w:t xml:space="preserve">Section </w:t>
      </w:r>
      <w:r w:rsidRPr="00AD2279">
        <w:rPr>
          <w:lang w:val="en-PH"/>
        </w:rPr>
        <w:t>2:26, Marital Rights/Signature Requirements.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LAW REVIEW AND JOURNAL COMMENTARIES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Determination of Property Rights Upon Divorce in South Carolina: An Exploration and Recommendation. 33 S.C. L. Rev. 227, December 1981.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For additional related cases, see Phillips v Oswald (1894) 42 SC 71, 20 SE 18. Kuster v Dickson (1891, CC SC). 45 F 91.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Cited in Prosser v Prosser (1920) 114 SC 45, 102 SE 787. Egan v Raysor (1897) 49 SC 469, 27 SE 475. McKenzie v Sifford (1896) 45 SC 496, 23 SE 622. American Mortg. Co. v Woodward (1909) 83 SC 521, 65 SE 739. Bryant v Smith (1938) 187 SC 453, 198 SE 20. Young v Martin (1970) 254 SC 50, 173 SE2d 361.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 married woman may borrow money and purchase or pay claims against her husband. Ellis v Cribb (1899) 55 SC 328, 33 SE 484. Philpot v Cantey (1898). 52 SC 513, 30 SE 595.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Quoted in In re Johnson</w:t>
      </w:r>
      <w:r w:rsidR="00AD2279" w:rsidRPr="00AD2279">
        <w:rPr>
          <w:lang w:val="en-PH"/>
        </w:rPr>
        <w:t>’</w:t>
      </w:r>
      <w:r w:rsidRPr="00AD2279">
        <w:rPr>
          <w:lang w:val="en-PH"/>
        </w:rPr>
        <w:t>s Estate (S.C. 1942) 198 S.C. 526, 18 S.E.2d 450.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201] permits a married woman to enter into contract of partnership with her husband. Burwell v. South Carolina Tax Commission (S.C. 1924) 130 S.C. 199, 126 S.E. 29, 38 A.L.R. 1256. Marriage And Cohabitation 649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Applied in Gibson v. Hutchins (S.C. 1895) 43 S.C. 287, 21 S.E. 250.</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lastRenderedPageBreak/>
        <w:t xml:space="preserve">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201] empowers a married woman to sign an administration bond as principal, and therefore to administer an estate. Nurnberger</w:t>
      </w:r>
      <w:r w:rsidR="00AD2279" w:rsidRPr="00AD2279">
        <w:rPr>
          <w:lang w:val="en-PH"/>
        </w:rPr>
        <w:t>’</w:t>
      </w:r>
      <w:r w:rsidRPr="00AD2279">
        <w:rPr>
          <w:lang w:val="en-PH"/>
        </w:rPr>
        <w:t>s Estate v. Ludekins (S.C. 1894) 40 S.C. 334, 18 S.E. 935.</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20.</w:t>
      </w:r>
      <w:r w:rsidR="008F348D" w:rsidRPr="00AD2279">
        <w:rPr>
          <w:lang w:val="en-PH"/>
        </w:rPr>
        <w:t xml:space="preserve"> Power of wife to convey, bequeath, and devise separate property; descent.</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202;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202; 1942 Code </w:t>
      </w:r>
      <w:r w:rsidRPr="00AD2279">
        <w:rPr>
          <w:lang w:val="en-PH"/>
        </w:rPr>
        <w:t xml:space="preserve">Section </w:t>
      </w:r>
      <w:r w:rsidR="008F348D" w:rsidRPr="00AD2279">
        <w:rPr>
          <w:lang w:val="en-PH"/>
        </w:rPr>
        <w:t xml:space="preserve">8574; 1932 Code </w:t>
      </w:r>
      <w:r w:rsidRPr="00AD2279">
        <w:rPr>
          <w:lang w:val="en-PH"/>
        </w:rPr>
        <w:t xml:space="preserve">Section </w:t>
      </w:r>
      <w:r w:rsidR="008F348D" w:rsidRPr="00AD2279">
        <w:rPr>
          <w:lang w:val="en-PH"/>
        </w:rPr>
        <w:t xml:space="preserve">8574;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5539;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3760;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2667; G. S. 2036; R. S. 2166; 1870 (14) 325.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Provisions relative to equitable apportionment of marital property, see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3</w:t>
      </w:r>
      <w:r w:rsidR="00AD2279" w:rsidRPr="00AD2279">
        <w:rPr>
          <w:lang w:val="en-PH"/>
        </w:rPr>
        <w:noBreakHyphen/>
      </w:r>
      <w:r w:rsidRPr="00AD2279">
        <w:rPr>
          <w:lang w:val="en-PH"/>
        </w:rPr>
        <w:t>610 et seq.</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9, 179.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C.J.S. Husband and Wife </w:t>
      </w:r>
      <w:r w:rsidR="00AD2279" w:rsidRPr="00AD2279">
        <w:rPr>
          <w:lang w:val="en-PH"/>
        </w:rPr>
        <w:t xml:space="preserve">Section </w:t>
      </w:r>
      <w:r w:rsidRPr="00AD2279">
        <w:rPr>
          <w:lang w:val="en-PH"/>
        </w:rPr>
        <w:t>14.</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RESEARCH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Treatises and Practice Aids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Res. Mort. Lend. State Reg. Man. South Eastern SC </w:t>
      </w:r>
      <w:r w:rsidR="00AD2279" w:rsidRPr="00AD2279">
        <w:rPr>
          <w:lang w:val="en-PH"/>
        </w:rPr>
        <w:t xml:space="preserve">Section </w:t>
      </w:r>
      <w:r w:rsidRPr="00AD2279">
        <w:rPr>
          <w:lang w:val="en-PH"/>
        </w:rPr>
        <w:t>2:26, Marital Rights/Signature Requirements.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LAW REVIEW AND JOURNAL COMMENTARIES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Determination of Property Rights Upon Divorce in South Carolina: An Exploration and Recommendation. 33 S.C. L. Rev. 227 (December 1981).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Attorney General</w:t>
      </w:r>
      <w:r w:rsidR="00AD2279" w:rsidRPr="00AD2279">
        <w:rPr>
          <w:lang w:val="en-PH"/>
        </w:rPr>
        <w:t>’</w:t>
      </w:r>
      <w:r w:rsidRPr="00AD2279">
        <w:rPr>
          <w:lang w:val="en-PH"/>
        </w:rPr>
        <w:t>s Opinions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personal property held jointly by an individual applying for credit and his spouse, an otherwise valid security agreement executed by the applicant and spouse is sufficient to make the property available to the creditor in the event of default, regardless of whether the spouse signs the underlying note or obligation; as to real property owned jointly by husband and wife, a renunciation of dower as well as execution by both husband and wife is necessary to make the real estate available to the mortgagee in the event of default. 1978 Op Atty Gen, No 78</w:t>
      </w:r>
      <w:r w:rsidR="00AD2279" w:rsidRPr="00AD2279">
        <w:rPr>
          <w:lang w:val="en-PH"/>
        </w:rPr>
        <w:noBreakHyphen/>
      </w:r>
      <w:r w:rsidRPr="00AD2279">
        <w:rPr>
          <w:lang w:val="en-PH"/>
        </w:rPr>
        <w:t>108, p. 139 (May 30, 1978) 1978 WL 27771.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The power given by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202] is absolute. Phillips v Oswald (1894) 42 SC 71, 20 SE 18. Carroll v Thomas (1899) 54 SC 520, 32 SE 497.</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creation of tenancy in common, see Green v Cannady (1907) 77 SC 193, 57 SE 832. Brown v Pechman (1897) 49 SC 546, 27 SE 520. Martin v Suber (1893) 39 SC 525, 18 SE 125. Scottish</w:t>
      </w:r>
      <w:r w:rsidR="00AD2279" w:rsidRPr="00AD2279">
        <w:rPr>
          <w:lang w:val="en-PH"/>
        </w:rPr>
        <w:noBreakHyphen/>
      </w:r>
      <w:r w:rsidRPr="00AD2279">
        <w:rPr>
          <w:lang w:val="en-PH"/>
        </w:rPr>
        <w:t>American Mortg. Co. v Mixson (1893) 38 SC 432, 17 SE 244.</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Applied in Howard v Kitchens (1889) 31 SC 490, 10 SE 224. Gwynn v Gwynn (1887) 27 SC 525, 4 SE 229.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By virtue of Code 1962 </w:t>
      </w:r>
      <w:r w:rsidR="00AD2279" w:rsidRPr="00AD2279">
        <w:rPr>
          <w:lang w:val="en-PH"/>
        </w:rPr>
        <w:t xml:space="preserve">Section </w:t>
      </w:r>
      <w:r w:rsidRPr="00AD2279">
        <w:rPr>
          <w:lang w:val="en-PH"/>
        </w:rPr>
        <w:t>19</w:t>
      </w:r>
      <w:r w:rsidR="00AD2279" w:rsidRPr="00AD2279">
        <w:rPr>
          <w:lang w:val="en-PH"/>
        </w:rPr>
        <w:noBreakHyphen/>
      </w:r>
      <w:r w:rsidRPr="00AD2279">
        <w:rPr>
          <w:lang w:val="en-PH"/>
        </w:rPr>
        <w:t xml:space="preserve">476, Art 17, </w:t>
      </w:r>
      <w:r w:rsidR="00AD2279" w:rsidRPr="00AD2279">
        <w:rPr>
          <w:lang w:val="en-PH"/>
        </w:rPr>
        <w:t xml:space="preserve">Section </w:t>
      </w:r>
      <w:r w:rsidRPr="00AD2279">
        <w:rPr>
          <w:lang w:val="en-PH"/>
        </w:rPr>
        <w:t xml:space="preserve">9 of the Constitution, and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202], a husband is entitled to recover from his wife</w:t>
      </w:r>
      <w:r w:rsidR="00AD2279" w:rsidRPr="00AD2279">
        <w:rPr>
          <w:lang w:val="en-PH"/>
        </w:rPr>
        <w:t>’</w:t>
      </w:r>
      <w:r w:rsidRPr="00AD2279">
        <w:rPr>
          <w:lang w:val="en-PH"/>
        </w:rPr>
        <w:t>s estate money paid by him for her funeral expenses. In re Johnson</w:t>
      </w:r>
      <w:r w:rsidR="00AD2279" w:rsidRPr="00AD2279">
        <w:rPr>
          <w:lang w:val="en-PH"/>
        </w:rPr>
        <w:t>’</w:t>
      </w:r>
      <w:r w:rsidRPr="00AD2279">
        <w:rPr>
          <w:lang w:val="en-PH"/>
        </w:rPr>
        <w:t>s Estate (S.C. 1942) 198 S.C. 526, 18 S.E.2d 450.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Cited in Bryant v. Smith (S.C. 1938) 187 S.C. 453, 198 S.E. 20.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assignment of mortgage, see Langston v. Smyley (S.C. 1892) 38 S.C. 121, 16 S.E. 771.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But she has no such power where the trustee has contrary power. Rabb v. Flenniken (S.C. 1888) 29 S.C. 278, 7 S.E. 597.</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lastRenderedPageBreak/>
        <w:t xml:space="preserve">The power to sell is not limited to </w:t>
      </w:r>
      <w:r w:rsidR="00AD2279" w:rsidRPr="00AD2279">
        <w:rPr>
          <w:lang w:val="en-PH"/>
        </w:rPr>
        <w:t>“</w:t>
      </w:r>
      <w:r w:rsidRPr="00AD2279">
        <w:rPr>
          <w:lang w:val="en-PH"/>
        </w:rPr>
        <w:t>a sale, pure and simple, for valuable consideration,</w:t>
      </w:r>
      <w:r w:rsidR="00AD2279" w:rsidRPr="00AD2279">
        <w:rPr>
          <w:lang w:val="en-PH"/>
        </w:rPr>
        <w:t>”</w:t>
      </w:r>
      <w:r w:rsidRPr="00AD2279">
        <w:rPr>
          <w:lang w:val="en-PH"/>
        </w:rPr>
        <w:t xml:space="preserve"> benefiting her separate estate, but allows disposition by gift or otherwise. Booker v. Wingo (S.C. 1888) 29 S.C. 116, 7 S.E. 49.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The second sentence of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202] does not confer the power to make legal instruments, but only declares the mode of their execution in pursuance of power elsewhere given. Aultman &amp; Taylor Co. v. Rush (S.C. 1887) 26 S.C. 517, 2 S.E. 402.</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Giving lien by mortgage is neither a bequest, a devise, nor an alienation. Aultman &amp; Taylor Co. v. Rush (S.C. 1887) 26 S.C. 517, 2 S.E. 402.</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her separate property, there may be dealings between the wife and her husband as if she were discovert. McLure v. Lancaster (S.C. 1886) 24 S.C. 273, 58 Am.Rep. 259. Marriage And Cohabitation 644</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A married woman has the power to alienate her equitable estate in stock held in trust simply for her at the adoption of the Constitution of 1868. Witsell v. City of Charleston (S.C. 1876) 7 S.C. 88. Marriage And Cohabitation 608</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30.</w:t>
      </w:r>
      <w:r w:rsidR="008F348D" w:rsidRPr="00AD2279">
        <w:rPr>
          <w:lang w:val="en-PH"/>
        </w:rPr>
        <w:t xml:space="preserve"> Wife</w:t>
      </w:r>
      <w:r w:rsidRPr="00AD2279">
        <w:rPr>
          <w:lang w:val="en-PH"/>
        </w:rPr>
        <w:t>’</w:t>
      </w:r>
      <w:r w:rsidR="008F348D" w:rsidRPr="00AD2279">
        <w:rPr>
          <w:lang w:val="en-PH"/>
        </w:rPr>
        <w:t>s property is not subject to husband</w:t>
      </w:r>
      <w:r w:rsidRPr="00AD2279">
        <w:rPr>
          <w:lang w:val="en-PH"/>
        </w:rPr>
        <w:t>’</w:t>
      </w:r>
      <w:r w:rsidR="008F348D" w:rsidRPr="00AD2279">
        <w:rPr>
          <w:lang w:val="en-PH"/>
        </w:rPr>
        <w:t>s debts.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The real and personal property of a married woman, whether held by her at the time of her marriage or accrued to her thereafter, either by gift, grant, inheritance, devise, purchase or otherwise, shall not be subject to levy and sale for her husband</w:t>
      </w:r>
      <w:r w:rsidR="00AD2279" w:rsidRPr="00AD2279">
        <w:rPr>
          <w:lang w:val="en-PH"/>
        </w:rPr>
        <w:t>’</w:t>
      </w:r>
      <w:r w:rsidRPr="00AD2279">
        <w:rPr>
          <w:lang w:val="en-PH"/>
        </w:rPr>
        <w:t>s debts but shall be her separate property.</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203;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203; 1942 Code </w:t>
      </w:r>
      <w:r w:rsidRPr="00AD2279">
        <w:rPr>
          <w:lang w:val="en-PH"/>
        </w:rPr>
        <w:t xml:space="preserve">Section </w:t>
      </w:r>
      <w:r w:rsidR="008F348D" w:rsidRPr="00AD2279">
        <w:rPr>
          <w:lang w:val="en-PH"/>
        </w:rPr>
        <w:t xml:space="preserve">8572; 1932 Code </w:t>
      </w:r>
      <w:r w:rsidRPr="00AD2279">
        <w:rPr>
          <w:lang w:val="en-PH"/>
        </w:rPr>
        <w:t xml:space="preserve">Section </w:t>
      </w:r>
      <w:r w:rsidR="008F348D" w:rsidRPr="00AD2279">
        <w:rPr>
          <w:lang w:val="en-PH"/>
        </w:rPr>
        <w:t xml:space="preserve">8572;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5537;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3758;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2665; G. S. 2035; R. S. 2164; 1870 (14) 325.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Separate property of married women, see SC Const, Art. XVII, </w:t>
      </w:r>
      <w:r w:rsidR="00AD2279" w:rsidRPr="00AD2279">
        <w:rPr>
          <w:lang w:val="en-PH"/>
        </w:rPr>
        <w:t xml:space="preserve">Section </w:t>
      </w:r>
      <w:r w:rsidRPr="00AD2279">
        <w:rPr>
          <w:lang w:val="en-PH"/>
        </w:rPr>
        <w:t>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13, 149.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C.J.S. Husband and Wife </w:t>
      </w:r>
      <w:r w:rsidR="00AD2279" w:rsidRPr="00AD2279">
        <w:rPr>
          <w:lang w:val="en-PH"/>
        </w:rPr>
        <w:t xml:space="preserve">Sections </w:t>
      </w:r>
      <w:r w:rsidRPr="00AD2279">
        <w:rPr>
          <w:lang w:val="en-PH"/>
        </w:rPr>
        <w:t xml:space="preserve"> 12, 64.</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LAW REVIEW AND JOURNAL COMMENTARIES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Determination of Property Rights Upon Divorce in South Carolina: An Exploration and Recommendation. 33 S.C. L. Rev. 227 (December 1981).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tenancy by entirety, see Bomar v Mullins (1851) 25 SC Eq 80. McLeod v Tarrant (1893) 39 SC 271, 17 SE 773. Georgia, C. &amp; N. R. Co. v Scott (1892) 38 SC 34, 16 SE 185, reh dismd 38 SC 40, 16 SE 839. Green v Cannady (1907) 77 SC 193, 57 SE 832.</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But mere use and enjoyment of personal property purchased by her husband does not create her separate estate therein. Grantham v Grantham (1891) 34 SC 504, 13 SE 675. De Loach v Sarratt (1899) 55 SC 254, 33 SE 2, reh dismd 55 SC 291, 35 SE 441.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Since the Constitution of 1868 a married woman may acquire separate property by gift from her husband. State v Pitts (1879) 12 SC 180. Gerald v Gerald (1888) 28 SC 442, 6 SE 290. Grantham v Grantham (1891) 34 SC 504, 13 SE 675.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The Constitution of 1868 and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203] intended only to protect the property of a married woman and not to confer new powers upon her by a change of her legal status. Pelzer, Rogers &amp; Co. v Campbell &amp; Co. (1881) 15 SC 581. Townsend v Brown (1881) 16 SC 91. Aultman &amp; Taylor Co. v Rush (1887) 26 SC 517, 2 SE 402. Bridgers v Howell (1887) 27 SC 425, 3 SE 790. Gwynn v Gwynn (1887) 27 SC 525, 4 SE 229.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203] is not retrospective, and the vested rights of the husband in the lands of the wife before the Constitution of 1868 are not affected thereby. Bouknight v Epting (1878) 11 SC 71. Shuler v Bull (1881) 15 SC 421.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Common law marriage created presumption that improvements made with husband</w:t>
      </w:r>
      <w:r w:rsidR="00AD2279" w:rsidRPr="00AD2279">
        <w:rPr>
          <w:lang w:val="en-PH"/>
        </w:rPr>
        <w:t>’</w:t>
      </w:r>
      <w:r w:rsidRPr="00AD2279">
        <w:rPr>
          <w:lang w:val="en-PH"/>
        </w:rPr>
        <w:t>s funds to wife</w:t>
      </w:r>
      <w:r w:rsidR="00AD2279" w:rsidRPr="00AD2279">
        <w:rPr>
          <w:lang w:val="en-PH"/>
        </w:rPr>
        <w:t>’</w:t>
      </w:r>
      <w:r w:rsidRPr="00AD2279">
        <w:rPr>
          <w:lang w:val="en-PH"/>
        </w:rPr>
        <w:t>s property were gift of improvements to her, so that where nothing in case overcame presumption, husband was not entitled to portion of proceeds from sale of property upon separation. Kirby v. Kirby (S.C. 1978) 270 S.C. 137, 241 S.E.2d 415.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This article comprising the </w:t>
      </w:r>
      <w:r w:rsidR="00AD2279" w:rsidRPr="00AD2279">
        <w:rPr>
          <w:lang w:val="en-PH"/>
        </w:rPr>
        <w:t>“</w:t>
      </w:r>
      <w:r w:rsidRPr="00AD2279">
        <w:rPr>
          <w:lang w:val="en-PH"/>
        </w:rPr>
        <w:t>Married Women</w:t>
      </w:r>
      <w:r w:rsidR="00AD2279" w:rsidRPr="00AD2279">
        <w:rPr>
          <w:lang w:val="en-PH"/>
        </w:rPr>
        <w:t>’</w:t>
      </w:r>
      <w:r w:rsidRPr="00AD2279">
        <w:rPr>
          <w:lang w:val="en-PH"/>
        </w:rPr>
        <w:t>s Acts</w:t>
      </w:r>
      <w:r w:rsidR="00AD2279" w:rsidRPr="00AD2279">
        <w:rPr>
          <w:lang w:val="en-PH"/>
        </w:rPr>
        <w:t>”</w:t>
      </w:r>
      <w:r w:rsidRPr="00AD2279">
        <w:rPr>
          <w:lang w:val="en-PH"/>
        </w:rPr>
        <w:t xml:space="preserve"> does not require abandonment of the rule that a conveyance from wife to husband is presumed invalid as induced by undue influence. Bates v. Bates (S.C. 1948) 213 S.C. 26, 48 S.E.2d 612. Deeds 196(3)</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Stated in Bryant v. Smith (S.C. 1938) 187 S.C. 453, 198 S.E. 20.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Under this article a married woman can enter into a contract of partnership with her husband. Burwell v. South Carolina Tax Commission (S.C. 1924) 130 S.C. 199, 126 S.E. 29, 38 A.L.R. 1256. Marriage And Cohabitation 649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Under this article, where a grant is made to a husband and wife in the absence of any express intention of conveying the whole to the survivor, they become tenants in common. Green v. Cannady (S.C. 1907) 77 S.C. 193, 57 S.E. 832.</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Under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 xml:space="preserve">203] and SC Const, Art 17, </w:t>
      </w:r>
      <w:r w:rsidR="00AD2279" w:rsidRPr="00AD2279">
        <w:rPr>
          <w:lang w:val="en-PH"/>
        </w:rPr>
        <w:t xml:space="preserve">Section </w:t>
      </w:r>
      <w:r w:rsidRPr="00AD2279">
        <w:rPr>
          <w:lang w:val="en-PH"/>
        </w:rPr>
        <w:t>9, a married woman may maintain an action for damages for an unauthorized levy on her property to satisfy her husband</w:t>
      </w:r>
      <w:r w:rsidR="00AD2279" w:rsidRPr="00AD2279">
        <w:rPr>
          <w:lang w:val="en-PH"/>
        </w:rPr>
        <w:t>’</w:t>
      </w:r>
      <w:r w:rsidRPr="00AD2279">
        <w:rPr>
          <w:lang w:val="en-PH"/>
        </w:rPr>
        <w:t>s debts. Holtzclaw v. Gassaway (S.C. 1898) 52 S.C. 551, 30 S.E. 399.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Such construction would make it violative of the Constitution of the United States. Trustees of Wadsworthville Poor School v. Bryson (S.C. 1891) 34 S.C. 401, 13 S.E. 619.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Also personalty not reduced to possession. Trustees of Wadsworthville Poor School v. Bryson (S.C. 1891) 34 S.C. 401, 13 S.E. 619.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Married woman</w:t>
      </w:r>
      <w:r w:rsidR="00AD2279" w:rsidRPr="00AD2279">
        <w:rPr>
          <w:lang w:val="en-PH"/>
        </w:rPr>
        <w:t>’</w:t>
      </w:r>
      <w:r w:rsidRPr="00AD2279">
        <w:rPr>
          <w:lang w:val="en-PH"/>
        </w:rPr>
        <w:t>s interest in land acquired before the Constitution of 1868 is her separate property. Kincaid v. Anderson (S.C. 1890) 33 S.C. 260, 11 S.E. 766.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 bequest to a daughter by a father in 1861, to be free from the debts and the control of her husband, could not be properly paid to the daughter herself after the SC Constitution of 1868. Witte Bros. v. Clarke (S.C. 1882) 17 S.C. 313.</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Vested rights of creditors are not affected. Clawson v. Hutchinson (S.C. 1879) 11 S.C. 323.</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40.</w:t>
      </w:r>
      <w:r w:rsidR="008F348D" w:rsidRPr="00AD2279">
        <w:rPr>
          <w:lang w:val="en-PH"/>
        </w:rPr>
        <w:t xml:space="preserve"> Earnings and income of married women.</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All the earnings and income of a married woman shall be her own separate estate and shall be governed by the same provisions of law as apply to her other separate estate.</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204;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204; 1942 Code </w:t>
      </w:r>
      <w:r w:rsidRPr="00AD2279">
        <w:rPr>
          <w:lang w:val="en-PH"/>
        </w:rPr>
        <w:t xml:space="preserve">Section </w:t>
      </w:r>
      <w:r w:rsidR="008F348D" w:rsidRPr="00AD2279">
        <w:rPr>
          <w:lang w:val="en-PH"/>
        </w:rPr>
        <w:t xml:space="preserve">8573; 1932 Code </w:t>
      </w:r>
      <w:r w:rsidRPr="00AD2279">
        <w:rPr>
          <w:lang w:val="en-PH"/>
        </w:rPr>
        <w:t xml:space="preserve">Section </w:t>
      </w:r>
      <w:r w:rsidR="008F348D" w:rsidRPr="00AD2279">
        <w:rPr>
          <w:lang w:val="en-PH"/>
        </w:rPr>
        <w:t xml:space="preserve">8573;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5538;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3759;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2666; R. S. 2165; 1887 (19) 819.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Provisions relative to equitable apportionment of marital property, see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3</w:t>
      </w:r>
      <w:r w:rsidR="00AD2279" w:rsidRPr="00AD2279">
        <w:rPr>
          <w:lang w:val="en-PH"/>
        </w:rPr>
        <w:noBreakHyphen/>
      </w:r>
      <w:r w:rsidRPr="00AD2279">
        <w:rPr>
          <w:lang w:val="en-PH"/>
        </w:rPr>
        <w:t>610 et seq.</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126.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Applied in Mitchell v Mitchell (1894) 42 SC 475, 20 SE 405. Kuster v Dickson (1891, CC SC) 45 F 91.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Wife entitled to equitable ownership of portion of properties held by husband where she contributed materially to financial success of family and acquisition of property by husband, having been employed since time of marriage in 1951 and, at one time, having worked in business owned by husband and his brother</w:t>
      </w:r>
      <w:r w:rsidR="00AD2279" w:rsidRPr="00AD2279">
        <w:rPr>
          <w:lang w:val="en-PH"/>
        </w:rPr>
        <w:noBreakHyphen/>
      </w:r>
      <w:r w:rsidRPr="00AD2279">
        <w:rPr>
          <w:lang w:val="en-PH"/>
        </w:rPr>
        <w:t>in</w:t>
      </w:r>
      <w:r w:rsidR="00AD2279" w:rsidRPr="00AD2279">
        <w:rPr>
          <w:lang w:val="en-PH"/>
        </w:rPr>
        <w:noBreakHyphen/>
      </w:r>
      <w:r w:rsidRPr="00AD2279">
        <w:rPr>
          <w:lang w:val="en-PH"/>
        </w:rPr>
        <w:t>law for weekly salary of only $25. Wilson v. Wilson (S.C. 1978) 270 S.C. 216, 241 S.E.2d 566.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Possibility that property was purchased with commingled funds, without more, is insufficient to establish resulting trust where wife, claiming resulting trust in family home due to construction of residence from proceeds from sale of prior family home, did not offer any specific evidence as to any specific amount of her money being expended at any time toward purchase price of real estate, and where wife was not obligated to pay any portion of purchase price. Wilson v. Wilson (S.C. 1978) 270 S.C. 216, 241 S.E.2d 566.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Evidence was insufficient to establish resulting trust in lake lot where nothing in record demonstrated that any of wife</w:t>
      </w:r>
      <w:r w:rsidR="00AD2279" w:rsidRPr="00AD2279">
        <w:rPr>
          <w:lang w:val="en-PH"/>
        </w:rPr>
        <w:t>’</w:t>
      </w:r>
      <w:r w:rsidRPr="00AD2279">
        <w:rPr>
          <w:lang w:val="en-PH"/>
        </w:rPr>
        <w:t>s funds were expended at time lot was purchased, and wife offered no evidence of any specific amount she had contributed to acquisition of property. Wilson v. Wilson (S.C. 1978) 270 S.C. 216, 241 S.E.2d 566.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Common law husband not entitled to accounting of rents and income from farm owned by wife where preponderance of evidence supported lower court finding that all funds obtained from use of farm were used for mortgage payments upon property and for support of parties and their children. Kirby v. Kirby (S.C. 1978) 270 S.C. 137, 241 S.E.2d 415. Account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Code 1962 </w:t>
      </w:r>
      <w:r w:rsidR="00AD2279" w:rsidRPr="00AD2279">
        <w:rPr>
          <w:lang w:val="en-PH"/>
        </w:rPr>
        <w:t xml:space="preserve">Section </w:t>
      </w:r>
      <w:r w:rsidRPr="00AD2279">
        <w:rPr>
          <w:lang w:val="en-PH"/>
        </w:rPr>
        <w:t>10</w:t>
      </w:r>
      <w:r w:rsidR="00AD2279" w:rsidRPr="00AD2279">
        <w:rPr>
          <w:lang w:val="en-PH"/>
        </w:rPr>
        <w:noBreakHyphen/>
      </w:r>
      <w:r w:rsidRPr="00AD2279">
        <w:rPr>
          <w:lang w:val="en-PH"/>
        </w:rPr>
        <w:t xml:space="preserve">216 and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204] have not abridged the common</w:t>
      </w:r>
      <w:r w:rsidR="00AD2279" w:rsidRPr="00AD2279">
        <w:rPr>
          <w:lang w:val="en-PH"/>
        </w:rPr>
        <w:noBreakHyphen/>
      </w:r>
      <w:r w:rsidRPr="00AD2279">
        <w:rPr>
          <w:lang w:val="en-PH"/>
        </w:rPr>
        <w:t xml:space="preserve">law right of a husband to the companionship, aid, society and services of his wife, which is comprehended by the term </w:t>
      </w:r>
      <w:r w:rsidR="00AD2279" w:rsidRPr="00AD2279">
        <w:rPr>
          <w:lang w:val="en-PH"/>
        </w:rPr>
        <w:t>“</w:t>
      </w:r>
      <w:r w:rsidRPr="00AD2279">
        <w:rPr>
          <w:lang w:val="en-PH"/>
        </w:rPr>
        <w:t>consortium,</w:t>
      </w:r>
      <w:r w:rsidR="00AD2279" w:rsidRPr="00AD2279">
        <w:rPr>
          <w:lang w:val="en-PH"/>
        </w:rPr>
        <w:t>”</w:t>
      </w:r>
      <w:r w:rsidRPr="00AD2279">
        <w:rPr>
          <w:lang w:val="en-PH"/>
        </w:rPr>
        <w:t xml:space="preserve"> and his attendant right to sue therefor in the event of their loss through personal injury to her. Hughey v. Ausborn (S.C. 1967) 249 S.C. 470, 154 S.E.2d 839, 25 A.L.R.3d 1406.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By virtue of this section [Code 1962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 xml:space="preserve">204] and Code 1962 </w:t>
      </w:r>
      <w:r w:rsidR="00AD2279" w:rsidRPr="00AD2279">
        <w:rPr>
          <w:lang w:val="en-PH"/>
        </w:rPr>
        <w:t xml:space="preserve">Section </w:t>
      </w:r>
      <w:r w:rsidRPr="00AD2279">
        <w:rPr>
          <w:lang w:val="en-PH"/>
        </w:rPr>
        <w:t>10</w:t>
      </w:r>
      <w:r w:rsidR="00AD2279" w:rsidRPr="00AD2279">
        <w:rPr>
          <w:lang w:val="en-PH"/>
        </w:rPr>
        <w:noBreakHyphen/>
      </w:r>
      <w:r w:rsidRPr="00AD2279">
        <w:rPr>
          <w:lang w:val="en-PH"/>
        </w:rPr>
        <w:t>216, the right is conferred upon the wife to bring an action for the recovery of loss of earnings resulting from personal injury to her. Brown v. Finger (S.C. 1962) 240 S.C. 102, 124 S.E.2d 781.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Where a married woman</w:t>
      </w:r>
      <w:r w:rsidR="00AD2279" w:rsidRPr="00AD2279">
        <w:rPr>
          <w:lang w:val="en-PH"/>
        </w:rPr>
        <w:t>’</w:t>
      </w:r>
      <w:r w:rsidRPr="00AD2279">
        <w:rPr>
          <w:lang w:val="en-PH"/>
        </w:rPr>
        <w:t>s separate earnings belong to her by force of a statute specifically providing that a married woman shall be entitled to her own earnings, the husband cannot recover for loss of such earnings. Brown v. Finger (S.C. 1962) 240 S.C. 102, 124 S.E.2d 781.</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Stated in Bryant v. Smith (S.C. 1938) 187 S.C. 453, 198 S.E. 20.</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50.</w:t>
      </w:r>
      <w:r w:rsidR="008F348D" w:rsidRPr="00AD2279">
        <w:rPr>
          <w:lang w:val="en-PH"/>
        </w:rPr>
        <w:t xml:space="preserve"> Requisites of marriage contracts, deeds, and settlements.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205;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205; 1942 Code </w:t>
      </w:r>
      <w:r w:rsidRPr="00AD2279">
        <w:rPr>
          <w:lang w:val="en-PH"/>
        </w:rPr>
        <w:t xml:space="preserve">Section </w:t>
      </w:r>
      <w:r w:rsidR="008F348D" w:rsidRPr="00AD2279">
        <w:rPr>
          <w:lang w:val="en-PH"/>
        </w:rPr>
        <w:t xml:space="preserve">8576; 1932 Code </w:t>
      </w:r>
      <w:r w:rsidRPr="00AD2279">
        <w:rPr>
          <w:lang w:val="en-PH"/>
        </w:rPr>
        <w:t xml:space="preserve">Section </w:t>
      </w:r>
      <w:r w:rsidR="008F348D" w:rsidRPr="00AD2279">
        <w:rPr>
          <w:lang w:val="en-PH"/>
        </w:rPr>
        <w:t xml:space="preserve">8576;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5541;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3762;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2669; G. S. 2038; R. S. 2168; 1792 (5) 203.</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Recording marriage settlements, see </w:t>
      </w:r>
      <w:r w:rsidR="00AD2279" w:rsidRPr="00AD2279">
        <w:rPr>
          <w:lang w:val="en-PH"/>
        </w:rPr>
        <w:t xml:space="preserve">Section </w:t>
      </w:r>
      <w:r w:rsidRPr="00AD2279">
        <w:rPr>
          <w:lang w:val="en-PH"/>
        </w:rPr>
        <w:t>30</w:t>
      </w:r>
      <w:r w:rsidR="00AD2279" w:rsidRPr="00AD2279">
        <w:rPr>
          <w:lang w:val="en-PH"/>
        </w:rPr>
        <w:noBreakHyphen/>
      </w:r>
      <w:r w:rsidRPr="00AD2279">
        <w:rPr>
          <w:lang w:val="en-PH"/>
        </w:rPr>
        <w:t>5</w:t>
      </w:r>
      <w:r w:rsidR="00AD2279" w:rsidRPr="00AD2279">
        <w:rPr>
          <w:lang w:val="en-PH"/>
        </w:rPr>
        <w:noBreakHyphen/>
      </w:r>
      <w:r w:rsidRPr="00AD2279">
        <w:rPr>
          <w:lang w:val="en-PH"/>
        </w:rPr>
        <w:t>90.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15, 17.</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C.J.S. Husband and Wife </w:t>
      </w:r>
      <w:r w:rsidR="00AD2279" w:rsidRPr="00AD2279">
        <w:rPr>
          <w:lang w:val="en-PH"/>
        </w:rPr>
        <w:t xml:space="preserve">Sections </w:t>
      </w:r>
      <w:r w:rsidRPr="00AD2279">
        <w:rPr>
          <w:lang w:val="en-PH"/>
        </w:rPr>
        <w:t xml:space="preserve"> 37, 53, 60 to 63.</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RESEARCH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Treatises and Practice Aids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Family Estate Planning Guide </w:t>
      </w:r>
      <w:r w:rsidR="00AD2279" w:rsidRPr="00AD2279">
        <w:rPr>
          <w:lang w:val="en-PH"/>
        </w:rPr>
        <w:t xml:space="preserve">Section </w:t>
      </w:r>
      <w:r w:rsidRPr="00AD2279">
        <w:rPr>
          <w:lang w:val="en-PH"/>
        </w:rPr>
        <w:t>18:8, Divorce Agreements</w:t>
      </w:r>
      <w:r w:rsidR="00AD2279" w:rsidRPr="00AD2279">
        <w:rPr>
          <w:lang w:val="en-PH"/>
        </w:rPr>
        <w:noBreakHyphen/>
      </w:r>
      <w:r w:rsidRPr="00AD2279">
        <w:rPr>
          <w:lang w:val="en-PH"/>
        </w:rPr>
        <w:t>Post</w:t>
      </w:r>
      <w:r w:rsidR="00AD2279" w:rsidRPr="00AD2279">
        <w:rPr>
          <w:lang w:val="en-PH"/>
        </w:rPr>
        <w:noBreakHyphen/>
      </w:r>
      <w:r w:rsidRPr="00AD2279">
        <w:rPr>
          <w:lang w:val="en-PH"/>
        </w:rPr>
        <w:t>Nuptial Agreements.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As to recording, see Ward v Wilson (1794) 1 SC Eq 401. White v Palmer (1840) 16 SC Eq 115. Fowke v Woodward (1843) 17 SC Eq 233. Le Prince v Guillemot (1843) 18 SC Eq 187. Higgenbottom v Peyton (1851) 24 SC Eq 398. Gibbes v Cobb (1854) 28 SC Eq 54. Rivers v Thayer (1854) 28 SC Eq 136. Barsh v Riols (1852) 40 SCL 162. Garner v Executors &amp; Creditors of Garner (1795) 1 SC Eq 437. Forrest v Warrington (1804) 2 SC Eq 254. Croft v Arthur (1811) 3 SC Eq 223. Taylor v Heriot (1812) 4 SC Eq 227. Boatright &amp; Glaze v Wingate (1814) 5 SCL 423. Alston v Alston (1814) 5 SCL 469. Alston v Alston (1814) 7 SCL 604. Cheney v Lubbock (1819) 10 SCL 444. Givens v Branford (1822) 13 SCL 152. Hanion v McCall (1824) 5 SC Eq 170. Franklin v Creyon (1824) 5 SC Eq 243. Miller v Kernshaw (1831) 8 SC Eq 479. M</w:t>
      </w:r>
      <w:r w:rsidR="00AD2279" w:rsidRPr="00AD2279">
        <w:rPr>
          <w:lang w:val="en-PH"/>
        </w:rPr>
        <w:t>’</w:t>
      </w:r>
      <w:r w:rsidRPr="00AD2279">
        <w:rPr>
          <w:lang w:val="en-PH"/>
        </w:rPr>
        <w:t>Cartney &amp; Gordon v Ferguson (1835) 11 SC Eq 180. Perryclear v Jacobs (1937) 11 SC Eq 504. Jacobs v Perryclear (1837) 12 SC Eq 47. Bank of United States v Brown (1837) 11 SC Eq 558. Bank of United States v Brown (1837) 12 SC Eq 131. Baskins v Giles (1839) 14 SC Eq 315. President &amp; Directors of Bank v Mitchell (1839) 14 SC Eq 389. Smith v Patterson (1840) 15 SC Eq 29. Moyle v Campbell (1923) 126 SC 180, 119 SE 186.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If property be sufficiently described in the articles of settlement, no schedule is necessary. Thomas v Higham &amp; Fife (1831) 8 SC Eq 222. Rivers v Thayer (1854) 28 SC Eq 136.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The description must necessarily be according to the character of the property and must give all the information that can reasonably be required. Rivers v Thayer (1854) 28 SC Eq 136. McCartney &amp; Gordon v Ferguson (1835) 11 SC Eq 180. Ramsay v Richardson (1837) 12 SC Eq 271. McDowel v Chambers (1846) 20 SC Eq 347. Rivers v Thayer (1854) 28 SC Eq 136.</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Absence of the schedule or failure to record it does not invalidate the settlement between the parties, but only as to creditors and purchasers. Fripp v. Talbird (S.C. 1833).</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60.</w:t>
      </w:r>
      <w:r w:rsidR="008F348D" w:rsidRPr="00AD2279">
        <w:rPr>
          <w:lang w:val="en-PH"/>
        </w:rPr>
        <w:t xml:space="preserve"> Husband shall not be liable for wife</w:t>
      </w:r>
      <w:r w:rsidRPr="00AD2279">
        <w:rPr>
          <w:lang w:val="en-PH"/>
        </w:rPr>
        <w:t>’</w:t>
      </w:r>
      <w:r w:rsidR="008F348D" w:rsidRPr="00AD2279">
        <w:rPr>
          <w:lang w:val="en-PH"/>
        </w:rPr>
        <w:t>s debts.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 husband shall not be liable for the debts of his wife contracted prior to or after their marriage, except for her necessary support and that of their minor children residing with her.</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206;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206; 1942 Code </w:t>
      </w:r>
      <w:r w:rsidRPr="00AD2279">
        <w:rPr>
          <w:lang w:val="en-PH"/>
        </w:rPr>
        <w:t xml:space="preserve">Section </w:t>
      </w:r>
      <w:r w:rsidR="008F348D" w:rsidRPr="00AD2279">
        <w:rPr>
          <w:lang w:val="en-PH"/>
        </w:rPr>
        <w:t xml:space="preserve">8575; 1932 Code </w:t>
      </w:r>
      <w:r w:rsidRPr="00AD2279">
        <w:rPr>
          <w:lang w:val="en-PH"/>
        </w:rPr>
        <w:t xml:space="preserve">Section </w:t>
      </w:r>
      <w:r w:rsidR="008F348D" w:rsidRPr="00AD2279">
        <w:rPr>
          <w:lang w:val="en-PH"/>
        </w:rPr>
        <w:t xml:space="preserve">8575;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5540;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3761;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 xml:space="preserve">2668; G. S. 2037; R. S. 2167; 1897 (20) 1121; Const. 1895 Art. 17 </w:t>
      </w:r>
      <w:r w:rsidRPr="00AD2279">
        <w:rPr>
          <w:lang w:val="en-PH"/>
        </w:rPr>
        <w:t xml:space="preserve">Section </w:t>
      </w:r>
      <w:r w:rsidR="008F348D" w:rsidRPr="00AD2279">
        <w:rPr>
          <w:lang w:val="en-PH"/>
        </w:rPr>
        <w:t>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Obligation to support spouse and children, see </w:t>
      </w:r>
      <w:r w:rsidR="00AD2279" w:rsidRPr="00AD2279">
        <w:rPr>
          <w:lang w:val="en-PH"/>
        </w:rPr>
        <w:t xml:space="preserve">Sections </w:t>
      </w:r>
      <w:r w:rsidRPr="00AD2279">
        <w:rPr>
          <w:lang w:val="en-PH"/>
        </w:rPr>
        <w:t xml:space="preserve"> 63</w:t>
      </w:r>
      <w:r w:rsidR="00AD2279" w:rsidRPr="00AD2279">
        <w:rPr>
          <w:lang w:val="en-PH"/>
        </w:rPr>
        <w:noBreakHyphen/>
      </w:r>
      <w:r w:rsidRPr="00AD2279">
        <w:rPr>
          <w:lang w:val="en-PH"/>
        </w:rPr>
        <w:t>5</w:t>
      </w:r>
      <w:r w:rsidR="00AD2279" w:rsidRPr="00AD2279">
        <w:rPr>
          <w:lang w:val="en-PH"/>
        </w:rPr>
        <w:noBreakHyphen/>
      </w:r>
      <w:r w:rsidRPr="00AD2279">
        <w:rPr>
          <w:lang w:val="en-PH"/>
        </w:rPr>
        <w:t>10, 63</w:t>
      </w:r>
      <w:r w:rsidR="00AD2279" w:rsidRPr="00AD2279">
        <w:rPr>
          <w:lang w:val="en-PH"/>
        </w:rPr>
        <w:noBreakHyphen/>
      </w:r>
      <w:r w:rsidRPr="00AD2279">
        <w:rPr>
          <w:lang w:val="en-PH"/>
        </w:rPr>
        <w:t>5</w:t>
      </w:r>
      <w:r w:rsidR="00AD2279" w:rsidRPr="00AD2279">
        <w:rPr>
          <w:lang w:val="en-PH"/>
        </w:rPr>
        <w:noBreakHyphen/>
      </w:r>
      <w:r w:rsidRPr="00AD2279">
        <w:rPr>
          <w:lang w:val="en-PH"/>
        </w:rPr>
        <w:t>20.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18, 19.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205.</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C.J.S. Husband and Wife </w:t>
      </w:r>
      <w:r w:rsidR="00AD2279" w:rsidRPr="00AD2279">
        <w:rPr>
          <w:lang w:val="en-PH"/>
        </w:rPr>
        <w:t xml:space="preserve">Sections </w:t>
      </w:r>
      <w:r w:rsidRPr="00AD2279">
        <w:rPr>
          <w:lang w:val="en-PH"/>
        </w:rPr>
        <w:t xml:space="preserve"> 65, 72 to 86.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NOTES OF DECISIONS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In general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1. In general</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Judgment on common</w:t>
      </w:r>
      <w:r w:rsidR="00AD2279" w:rsidRPr="00AD2279">
        <w:rPr>
          <w:lang w:val="en-PH"/>
        </w:rPr>
        <w:noBreakHyphen/>
      </w:r>
      <w:r w:rsidRPr="00AD2279">
        <w:rPr>
          <w:lang w:val="en-PH"/>
        </w:rPr>
        <w:t>law liability must be recovered during the continuance of coverture. Buckner v Smyth (1813) 4 SC Eq 371. Witherspoon v DuBose (1830) 8 SC Eq 166. Terry v Hopkins (1833) 10 SC Eq 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For additional related cases, as to action against husband for supplies furnished wife and children, see Hentze v Marjenhoff (1894) 42 SC 427, 20 SE 278. Clement v Mattison (1846) 37 SCL 93. Williams v Prince (1848) 34 SCL 490.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Wife</w:t>
      </w:r>
      <w:r w:rsidR="00AD2279" w:rsidRPr="00AD2279">
        <w:rPr>
          <w:lang w:val="en-PH"/>
        </w:rPr>
        <w:t>’</w:t>
      </w:r>
      <w:r w:rsidRPr="00AD2279">
        <w:rPr>
          <w:lang w:val="en-PH"/>
        </w:rPr>
        <w:t>s surgery, which was a result of her miscarriage of parties</w:t>
      </w:r>
      <w:r w:rsidR="00AD2279" w:rsidRPr="00AD2279">
        <w:rPr>
          <w:lang w:val="en-PH"/>
        </w:rPr>
        <w:t>’</w:t>
      </w:r>
      <w:r w:rsidRPr="00AD2279">
        <w:rPr>
          <w:lang w:val="en-PH"/>
        </w:rPr>
        <w:t xml:space="preserve"> child, was not a marital debt because it occurred prior to parties</w:t>
      </w:r>
      <w:r w:rsidR="00AD2279" w:rsidRPr="00AD2279">
        <w:rPr>
          <w:lang w:val="en-PH"/>
        </w:rPr>
        <w:t>’</w:t>
      </w:r>
      <w:r w:rsidRPr="00AD2279">
        <w:rPr>
          <w:lang w:val="en-PH"/>
        </w:rPr>
        <w:t xml:space="preserve"> marriage, but since the $18,542.13 debt for this surgery would not have occurred but for husband</w:t>
      </w:r>
      <w:r w:rsidR="00AD2279" w:rsidRPr="00AD2279">
        <w:rPr>
          <w:lang w:val="en-PH"/>
        </w:rPr>
        <w:t>’</w:t>
      </w:r>
      <w:r w:rsidRPr="00AD2279">
        <w:rPr>
          <w:lang w:val="en-PH"/>
        </w:rPr>
        <w:t>s and wife</w:t>
      </w:r>
      <w:r w:rsidR="00AD2279" w:rsidRPr="00AD2279">
        <w:rPr>
          <w:lang w:val="en-PH"/>
        </w:rPr>
        <w:t>’</w:t>
      </w:r>
      <w:r w:rsidRPr="00AD2279">
        <w:rPr>
          <w:lang w:val="en-PH"/>
        </w:rPr>
        <w:t>s relationship, family court had authority in divorce action to require husband to participate in repayment of this debt; wife</w:t>
      </w:r>
      <w:r w:rsidR="00AD2279" w:rsidRPr="00AD2279">
        <w:rPr>
          <w:lang w:val="en-PH"/>
        </w:rPr>
        <w:t>’</w:t>
      </w:r>
      <w:r w:rsidRPr="00AD2279">
        <w:rPr>
          <w:lang w:val="en-PH"/>
        </w:rPr>
        <w:t>s hospital bill was a direct result of her pregnancy and ensuing miscarriage, and the procedure was necessary to wife</w:t>
      </w:r>
      <w:r w:rsidR="00AD2279" w:rsidRPr="00AD2279">
        <w:rPr>
          <w:lang w:val="en-PH"/>
        </w:rPr>
        <w:t>’</w:t>
      </w:r>
      <w:r w:rsidRPr="00AD2279">
        <w:rPr>
          <w:lang w:val="en-PH"/>
        </w:rPr>
        <w:t>s health, and not requiring husband to share in the responsibility for defraying this expense would thwart the ultimate goal of ensuring a just, equitable, and fair outcome to both parties. Susan R. v. Donald R. (S.C.App. 2010) 389 S.C. 107, 697 S.E.2d 634. Divorce 831; Divorce 837</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 husband or wife may be held individually liable for medical benefits furnished to the other spouse. Ateyeh v. Volkswagen of Florence, Inc. (S.C. 1986) 288 S.C. 101, 341 S.E.2d 378.</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 widow had a sufficient interest in the enforcement of a health insurance policy issued to her deceased husband to enable her to maintain an action for breach of contract thereon, since she could be held individually liable for the husband</w:t>
      </w:r>
      <w:r w:rsidR="00AD2279" w:rsidRPr="00AD2279">
        <w:rPr>
          <w:lang w:val="en-PH"/>
        </w:rPr>
        <w:t>’</w:t>
      </w:r>
      <w:r w:rsidRPr="00AD2279">
        <w:rPr>
          <w:lang w:val="en-PH"/>
        </w:rPr>
        <w:t>s medical expenses. Ateyeh v. Volkswagen of Florence, Inc. (S.C. 1986) 288 S.C. 101, 341 S.E.2d 378.</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The necessaries doctrine, as codified in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5</w:t>
      </w:r>
      <w:r w:rsidR="00AD2279" w:rsidRPr="00AD2279">
        <w:rPr>
          <w:lang w:val="en-PH"/>
        </w:rPr>
        <w:noBreakHyphen/>
      </w:r>
      <w:r w:rsidRPr="00AD2279">
        <w:rPr>
          <w:lang w:val="en-PH"/>
        </w:rPr>
        <w:t>60, denies husbands equal protection of the laws by failing to impose a reciprocal obligation on wives; however, in light of recent legislative and common law developments in South Carolina, the doctrine of necessaries remains a viable common law doctrine. Richland Memorial Hosp. v. Burton (S.C. 1984) 282 S.C. 159, 318 S.E.2d 12. Constitutional Law 3409; Constitutional Law 3413; Marriage And Cohabitation 571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Necessaries doctrine, as codified in </w:t>
      </w:r>
      <w:r w:rsidR="00AD2279" w:rsidRPr="00AD2279">
        <w:rPr>
          <w:lang w:val="en-PH"/>
        </w:rPr>
        <w:t xml:space="preserve">Section </w:t>
      </w:r>
      <w:r w:rsidRPr="00AD2279">
        <w:rPr>
          <w:lang w:val="en-PH"/>
        </w:rPr>
        <w:t>20</w:t>
      </w:r>
      <w:r w:rsidR="00AD2279" w:rsidRPr="00AD2279">
        <w:rPr>
          <w:lang w:val="en-PH"/>
        </w:rPr>
        <w:noBreakHyphen/>
      </w:r>
      <w:r w:rsidRPr="00AD2279">
        <w:rPr>
          <w:lang w:val="en-PH"/>
        </w:rPr>
        <w:t>5</w:t>
      </w:r>
      <w:r w:rsidR="00AD2279" w:rsidRPr="00AD2279">
        <w:rPr>
          <w:lang w:val="en-PH"/>
        </w:rPr>
        <w:noBreakHyphen/>
      </w:r>
      <w:r w:rsidRPr="00AD2279">
        <w:rPr>
          <w:lang w:val="en-PH"/>
        </w:rPr>
        <w:t>60, denies husbands equal protection of laws by failing to impose reciprocal obligation on wives, but doctrine of necessaries remains viable common</w:t>
      </w:r>
      <w:r w:rsidR="00AD2279" w:rsidRPr="00AD2279">
        <w:rPr>
          <w:lang w:val="en-PH"/>
        </w:rPr>
        <w:noBreakHyphen/>
      </w:r>
      <w:r w:rsidRPr="00AD2279">
        <w:rPr>
          <w:lang w:val="en-PH"/>
        </w:rPr>
        <w:t>law doctrine, allowing third parties providing necessaries to husband or wife to bring action against individual</w:t>
      </w:r>
      <w:r w:rsidR="00AD2279" w:rsidRPr="00AD2279">
        <w:rPr>
          <w:lang w:val="en-PH"/>
        </w:rPr>
        <w:t>’</w:t>
      </w:r>
      <w:r w:rsidRPr="00AD2279">
        <w:rPr>
          <w:lang w:val="en-PH"/>
        </w:rPr>
        <w:t>s spouse. Richland Memorial Hosp. v. Burton (S.C. 1984) 282 S.C. 159, 318 S.E.2d 12. Constitutional Law 3409; Constitutional Law 3413; Marriage And Cohabitation 571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Father is not responsible for the medical expenses of 18</w:t>
      </w:r>
      <w:r w:rsidR="00AD2279" w:rsidRPr="00AD2279">
        <w:rPr>
          <w:lang w:val="en-PH"/>
        </w:rPr>
        <w:noBreakHyphen/>
      </w:r>
      <w:r w:rsidRPr="00AD2279">
        <w:rPr>
          <w:lang w:val="en-PH"/>
        </w:rPr>
        <w:t>year</w:t>
      </w:r>
      <w:r w:rsidR="00AD2279" w:rsidRPr="00AD2279">
        <w:rPr>
          <w:lang w:val="en-PH"/>
        </w:rPr>
        <w:noBreakHyphen/>
      </w:r>
      <w:r w:rsidRPr="00AD2279">
        <w:rPr>
          <w:lang w:val="en-PH"/>
        </w:rPr>
        <w:t>old emancipated daughter. Timmerman v. Brown (S.C. 1977) 268 S.C. 303, 233 S.E.2d 106.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Emancipation of child is a question of fact, effected primarily by agreement of the parent although the child</w:t>
      </w:r>
      <w:r w:rsidR="00AD2279" w:rsidRPr="00AD2279">
        <w:rPr>
          <w:lang w:val="en-PH"/>
        </w:rPr>
        <w:t>’</w:t>
      </w:r>
      <w:r w:rsidRPr="00AD2279">
        <w:rPr>
          <w:lang w:val="en-PH"/>
        </w:rPr>
        <w:t>s acts are also to be considered. Timmerman v. Brown (S.C. 1977) 268 S.C. 303, 233 S.E.2d 106. Parent And Child 269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Where child announced to her father that she did not intend to return home and the father did not attempt in any way to make her return home, and child received social security payments due her directly, and was over 18 years of age, there was adequate evidence to find the child emancipated. Timmerman v. Brown (S.C. 1977) 268 S.C. 303, 233 S.E.2d 106.</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The provision relieving the husband of his common</w:t>
      </w:r>
      <w:r w:rsidR="00AD2279" w:rsidRPr="00AD2279">
        <w:rPr>
          <w:lang w:val="en-PH"/>
        </w:rPr>
        <w:noBreakHyphen/>
      </w:r>
      <w:r w:rsidRPr="00AD2279">
        <w:rPr>
          <w:lang w:val="en-PH"/>
        </w:rPr>
        <w:t>law liability for debts of his wife was held not retrospective in Clawson v. Hutchinson (S.C. 1879) 11 S.C. 323.</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70.</w:t>
      </w:r>
      <w:r w:rsidR="008F348D" w:rsidRPr="00AD2279">
        <w:rPr>
          <w:lang w:val="en-PH"/>
        </w:rPr>
        <w:t xml:space="preserve"> Liability of husband in suit brought against wife.</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Neither a husband nor his property shall be liable for any recovery against his wife in any suit brought against her. Judgment in any such suit may be enforced by execution against her sole and separate estate in the same manner as if she were sole.</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207;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207; 1942 Code </w:t>
      </w:r>
      <w:r w:rsidRPr="00AD2279">
        <w:rPr>
          <w:lang w:val="en-PH"/>
        </w:rPr>
        <w:t xml:space="preserve">Section </w:t>
      </w:r>
      <w:r w:rsidR="008F348D" w:rsidRPr="00AD2279">
        <w:rPr>
          <w:lang w:val="en-PH"/>
        </w:rPr>
        <w:t xml:space="preserve">400; 1932 Code </w:t>
      </w:r>
      <w:r w:rsidRPr="00AD2279">
        <w:rPr>
          <w:lang w:val="en-PH"/>
        </w:rPr>
        <w:t xml:space="preserve">Section </w:t>
      </w:r>
      <w:r w:rsidR="008F348D" w:rsidRPr="00AD2279">
        <w:rPr>
          <w:lang w:val="en-PH"/>
        </w:rPr>
        <w:t xml:space="preserve">400; Civ. P.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357; Civ. P.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163; Civ. P.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135; 1870 (14) 137; 1925 (34) 263.</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CROSS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Actions by and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5</w:t>
      </w:r>
      <w:r w:rsidR="00AD2279" w:rsidRPr="00AD2279">
        <w:rPr>
          <w:lang w:val="en-PH"/>
        </w:rPr>
        <w:noBreakHyphen/>
      </w:r>
      <w:r w:rsidRPr="00AD2279">
        <w:rPr>
          <w:lang w:val="en-PH"/>
        </w:rPr>
        <w:t>170.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Executions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39</w:t>
      </w:r>
      <w:r w:rsidR="00AD2279" w:rsidRPr="00AD2279">
        <w:rPr>
          <w:lang w:val="en-PH"/>
        </w:rPr>
        <w:noBreakHyphen/>
      </w:r>
      <w:r w:rsidRPr="00AD2279">
        <w:rPr>
          <w:lang w:val="en-PH"/>
        </w:rPr>
        <w:t>60.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Recovery of damages and costs against married women, see </w:t>
      </w:r>
      <w:r w:rsidR="00AD2279" w:rsidRPr="00AD2279">
        <w:rPr>
          <w:lang w:val="en-PH"/>
        </w:rPr>
        <w:t xml:space="preserve">Section </w:t>
      </w:r>
      <w:r w:rsidRPr="00AD2279">
        <w:rPr>
          <w:lang w:val="en-PH"/>
        </w:rPr>
        <w:t>15</w:t>
      </w:r>
      <w:r w:rsidR="00AD2279" w:rsidRPr="00AD2279">
        <w:rPr>
          <w:lang w:val="en-PH"/>
        </w:rPr>
        <w:noBreakHyphen/>
      </w:r>
      <w:r w:rsidRPr="00AD2279">
        <w:rPr>
          <w:lang w:val="en-PH"/>
        </w:rPr>
        <w:t>35</w:t>
      </w:r>
      <w:r w:rsidR="00AD2279" w:rsidRPr="00AD2279">
        <w:rPr>
          <w:lang w:val="en-PH"/>
        </w:rPr>
        <w:noBreakHyphen/>
      </w:r>
      <w:r w:rsidRPr="00AD2279">
        <w:rPr>
          <w:lang w:val="en-PH"/>
        </w:rPr>
        <w:t>160.</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Husband and Wife 175.</w:t>
      </w:r>
    </w:p>
    <w:p w:rsidR="00AD2279" w:rsidRP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279">
        <w:rPr>
          <w:lang w:val="en-PH"/>
        </w:rPr>
        <w:t>Westlaw Topic No. 205.</w:t>
      </w:r>
    </w:p>
    <w:p w:rsidR="00AD2279" w:rsidRP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b/>
          <w:lang w:val="en-PH"/>
        </w:rPr>
        <w:t xml:space="preserve">SECTION </w:t>
      </w:r>
      <w:r w:rsidR="008F348D" w:rsidRPr="00AD2279">
        <w:rPr>
          <w:b/>
          <w:lang w:val="en-PH"/>
        </w:rPr>
        <w:t>20</w:t>
      </w:r>
      <w:r w:rsidRPr="00AD2279">
        <w:rPr>
          <w:b/>
          <w:lang w:val="en-PH"/>
        </w:rPr>
        <w:noBreakHyphen/>
      </w:r>
      <w:r w:rsidR="008F348D" w:rsidRPr="00AD2279">
        <w:rPr>
          <w:b/>
          <w:lang w:val="en-PH"/>
        </w:rPr>
        <w:t>5</w:t>
      </w:r>
      <w:r w:rsidRPr="00AD2279">
        <w:rPr>
          <w:b/>
          <w:lang w:val="en-PH"/>
        </w:rPr>
        <w:noBreakHyphen/>
      </w:r>
      <w:r w:rsidR="008F348D" w:rsidRPr="00AD2279">
        <w:rPr>
          <w:b/>
          <w:lang w:val="en-PH"/>
        </w:rPr>
        <w:t>80.</w:t>
      </w:r>
      <w:r w:rsidR="008F348D" w:rsidRPr="00AD2279">
        <w:rPr>
          <w:lang w:val="en-PH"/>
        </w:rPr>
        <w:t xml:space="preserve"> Validation of certain deeds subsequent to April 16, 1868.</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279" w:rsidRDefault="00AD227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48D" w:rsidRPr="00AD2279">
        <w:rPr>
          <w:lang w:val="en-PH"/>
        </w:rPr>
        <w:t xml:space="preserve">: 1962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208; 1952 Code </w:t>
      </w:r>
      <w:r w:rsidRPr="00AD2279">
        <w:rPr>
          <w:lang w:val="en-PH"/>
        </w:rPr>
        <w:t xml:space="preserve">Section </w:t>
      </w:r>
      <w:r w:rsidR="008F348D" w:rsidRPr="00AD2279">
        <w:rPr>
          <w:lang w:val="en-PH"/>
        </w:rPr>
        <w:t>20</w:t>
      </w:r>
      <w:r w:rsidRPr="00AD2279">
        <w:rPr>
          <w:lang w:val="en-PH"/>
        </w:rPr>
        <w:noBreakHyphen/>
      </w:r>
      <w:r w:rsidR="008F348D" w:rsidRPr="00AD2279">
        <w:rPr>
          <w:lang w:val="en-PH"/>
        </w:rPr>
        <w:t xml:space="preserve">208; 1942 Code </w:t>
      </w:r>
      <w:r w:rsidRPr="00AD2279">
        <w:rPr>
          <w:lang w:val="en-PH"/>
        </w:rPr>
        <w:t xml:space="preserve">Section </w:t>
      </w:r>
      <w:r w:rsidR="008F348D" w:rsidRPr="00AD2279">
        <w:rPr>
          <w:lang w:val="en-PH"/>
        </w:rPr>
        <w:t xml:space="preserve">8884; 1932 Code </w:t>
      </w:r>
      <w:r w:rsidRPr="00AD2279">
        <w:rPr>
          <w:lang w:val="en-PH"/>
        </w:rPr>
        <w:t xml:space="preserve">Section </w:t>
      </w:r>
      <w:r w:rsidR="008F348D" w:rsidRPr="00AD2279">
        <w:rPr>
          <w:lang w:val="en-PH"/>
        </w:rPr>
        <w:t xml:space="preserve">8884; Civ. C. </w:t>
      </w:r>
      <w:r w:rsidRPr="00AD2279">
        <w:rPr>
          <w:lang w:val="en-PH"/>
        </w:rPr>
        <w:t>‘</w:t>
      </w:r>
      <w:r w:rsidR="008F348D" w:rsidRPr="00AD2279">
        <w:rPr>
          <w:lang w:val="en-PH"/>
        </w:rPr>
        <w:t xml:space="preserve">22 </w:t>
      </w:r>
      <w:r w:rsidRPr="00AD2279">
        <w:rPr>
          <w:lang w:val="en-PH"/>
        </w:rPr>
        <w:t xml:space="preserve">Section </w:t>
      </w:r>
      <w:r w:rsidR="008F348D" w:rsidRPr="00AD2279">
        <w:rPr>
          <w:lang w:val="en-PH"/>
        </w:rPr>
        <w:t xml:space="preserve">5315; Civ. C. </w:t>
      </w:r>
      <w:r w:rsidRPr="00AD2279">
        <w:rPr>
          <w:lang w:val="en-PH"/>
        </w:rPr>
        <w:t>‘</w:t>
      </w:r>
      <w:r w:rsidR="008F348D" w:rsidRPr="00AD2279">
        <w:rPr>
          <w:lang w:val="en-PH"/>
        </w:rPr>
        <w:t xml:space="preserve">12 </w:t>
      </w:r>
      <w:r w:rsidRPr="00AD2279">
        <w:rPr>
          <w:lang w:val="en-PH"/>
        </w:rPr>
        <w:t xml:space="preserve">Section </w:t>
      </w:r>
      <w:r w:rsidR="008F348D" w:rsidRPr="00AD2279">
        <w:rPr>
          <w:lang w:val="en-PH"/>
        </w:rPr>
        <w:t xml:space="preserve">3545; Civ. C. </w:t>
      </w:r>
      <w:r w:rsidRPr="00AD2279">
        <w:rPr>
          <w:lang w:val="en-PH"/>
        </w:rPr>
        <w:t>‘</w:t>
      </w:r>
      <w:r w:rsidR="008F348D" w:rsidRPr="00AD2279">
        <w:rPr>
          <w:lang w:val="en-PH"/>
        </w:rPr>
        <w:t xml:space="preserve">02 </w:t>
      </w:r>
      <w:r w:rsidRPr="00AD2279">
        <w:rPr>
          <w:lang w:val="en-PH"/>
        </w:rPr>
        <w:t xml:space="preserve">Section </w:t>
      </w:r>
      <w:r w:rsidR="008F348D" w:rsidRPr="00AD2279">
        <w:rPr>
          <w:lang w:val="en-PH"/>
        </w:rPr>
        <w:t>2459; G. S. 1779; R. S. 1971.</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Library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Records 9.</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Westlaw Topic No. 326.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C.J.S. Registration of Land Titles </w:t>
      </w:r>
      <w:r w:rsidR="00AD2279" w:rsidRPr="00AD2279">
        <w:rPr>
          <w:lang w:val="en-PH"/>
        </w:rPr>
        <w:t xml:space="preserve">Sections </w:t>
      </w:r>
      <w:r w:rsidRPr="00AD2279">
        <w:rPr>
          <w:lang w:val="en-PH"/>
        </w:rPr>
        <w:t xml:space="preserve"> 1 to 66.</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RESEARCH REFERENCES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Encyclopedias</w:t>
      </w:r>
    </w:p>
    <w:p w:rsidR="00AD2279" w:rsidRDefault="008F348D"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279">
        <w:rPr>
          <w:lang w:val="en-PH"/>
        </w:rPr>
        <w:t xml:space="preserve">S.C. Jur. Criminal Conversation </w:t>
      </w:r>
      <w:r w:rsidR="00AD2279" w:rsidRPr="00AD2279">
        <w:rPr>
          <w:lang w:val="en-PH"/>
        </w:rPr>
        <w:t xml:space="preserve">Section </w:t>
      </w:r>
      <w:r w:rsidRPr="00AD2279">
        <w:rPr>
          <w:lang w:val="en-PH"/>
        </w:rPr>
        <w:t>2, Historical Background.</w:t>
      </w:r>
    </w:p>
    <w:p w:rsidR="00F25049" w:rsidRPr="00AD2279" w:rsidRDefault="00F25049" w:rsidP="00AD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2279" w:rsidSect="00AD22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79" w:rsidRDefault="00AD2279" w:rsidP="00AD2279">
      <w:r>
        <w:separator/>
      </w:r>
    </w:p>
  </w:endnote>
  <w:endnote w:type="continuationSeparator" w:id="0">
    <w:p w:rsidR="00AD2279" w:rsidRDefault="00AD2279" w:rsidP="00AD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79" w:rsidRDefault="00AD2279" w:rsidP="00AD2279">
      <w:r>
        <w:separator/>
      </w:r>
    </w:p>
  </w:footnote>
  <w:footnote w:type="continuationSeparator" w:id="0">
    <w:p w:rsidR="00AD2279" w:rsidRDefault="00AD2279" w:rsidP="00AD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79" w:rsidRPr="00AD2279" w:rsidRDefault="00AD2279" w:rsidP="00AD2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8D"/>
    <w:rsid w:val="008F348D"/>
    <w:rsid w:val="00AD22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864F-A130-4A77-A5D4-0BFFEADD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348D"/>
    <w:rPr>
      <w:rFonts w:ascii="Courier New" w:eastAsiaTheme="minorEastAsia" w:hAnsi="Courier New" w:cs="Courier New"/>
      <w:sz w:val="20"/>
      <w:szCs w:val="20"/>
    </w:rPr>
  </w:style>
  <w:style w:type="paragraph" w:styleId="Header">
    <w:name w:val="header"/>
    <w:basedOn w:val="Normal"/>
    <w:link w:val="HeaderChar"/>
    <w:uiPriority w:val="99"/>
    <w:unhideWhenUsed/>
    <w:rsid w:val="00AD2279"/>
    <w:pPr>
      <w:tabs>
        <w:tab w:val="center" w:pos="4680"/>
        <w:tab w:val="right" w:pos="9360"/>
      </w:tabs>
    </w:pPr>
  </w:style>
  <w:style w:type="character" w:customStyle="1" w:styleId="HeaderChar">
    <w:name w:val="Header Char"/>
    <w:basedOn w:val="DefaultParagraphFont"/>
    <w:link w:val="Header"/>
    <w:uiPriority w:val="99"/>
    <w:rsid w:val="00AD2279"/>
  </w:style>
  <w:style w:type="paragraph" w:styleId="Footer">
    <w:name w:val="footer"/>
    <w:basedOn w:val="Normal"/>
    <w:link w:val="FooterChar"/>
    <w:uiPriority w:val="99"/>
    <w:unhideWhenUsed/>
    <w:rsid w:val="00AD2279"/>
    <w:pPr>
      <w:tabs>
        <w:tab w:val="center" w:pos="4680"/>
        <w:tab w:val="right" w:pos="9360"/>
      </w:tabs>
    </w:pPr>
  </w:style>
  <w:style w:type="character" w:customStyle="1" w:styleId="FooterChar">
    <w:name w:val="Footer Char"/>
    <w:basedOn w:val="DefaultParagraphFont"/>
    <w:link w:val="Footer"/>
    <w:uiPriority w:val="99"/>
    <w:rsid w:val="00AD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3735</Words>
  <Characters>21292</Characters>
  <Application>Microsoft Office Word</Application>
  <DocSecurity>0</DocSecurity>
  <Lines>177</Lines>
  <Paragraphs>49</Paragraphs>
  <ScaleCrop>false</ScaleCrop>
  <Company>Legislative Services Agency (LSA)</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