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520">
        <w:t>CHAPTER 5</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520">
        <w:t>Estates and Construction of Documents Creating Estates</w:t>
      </w:r>
      <w:bookmarkStart w:id="0" w:name="_GoBack"/>
      <w:bookmarkEnd w:id="0"/>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10.</w:t>
      </w:r>
      <w:r w:rsidR="00DE24B4" w:rsidRPr="00962520">
        <w:t xml:space="preserve"> Tenure of lands in State.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The only tenure of lands in this State is that of free and common socage.</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1; 1952 Code </w:t>
      </w:r>
      <w:r w:rsidRPr="00962520">
        <w:t xml:space="preserve">Section </w:t>
      </w:r>
      <w:r w:rsidR="00DE24B4" w:rsidRPr="00962520">
        <w:t>57</w:t>
      </w:r>
      <w:r w:rsidRPr="00962520">
        <w:noBreakHyphen/>
      </w:r>
      <w:r w:rsidR="00DE24B4" w:rsidRPr="00962520">
        <w:t xml:space="preserve">1; 1942 Code </w:t>
      </w:r>
      <w:r w:rsidRPr="00962520">
        <w:t xml:space="preserve">Section </w:t>
      </w:r>
      <w:r w:rsidR="00DE24B4" w:rsidRPr="00962520">
        <w:t xml:space="preserve">8680; 1932 Code </w:t>
      </w:r>
      <w:r w:rsidRPr="00962520">
        <w:t xml:space="preserve">Section </w:t>
      </w:r>
      <w:r w:rsidR="00DE24B4" w:rsidRPr="00962520">
        <w:t xml:space="preserve">8680; Civ. C. </w:t>
      </w:r>
      <w:r w:rsidRPr="00962520">
        <w:t>‘</w:t>
      </w:r>
      <w:r w:rsidR="00DE24B4" w:rsidRPr="00962520">
        <w:t xml:space="preserve">22 </w:t>
      </w:r>
      <w:r w:rsidRPr="00962520">
        <w:t xml:space="preserve">Section </w:t>
      </w:r>
      <w:r w:rsidR="00DE24B4" w:rsidRPr="00962520">
        <w:t xml:space="preserve">5202; Civ. C. </w:t>
      </w:r>
      <w:r w:rsidRPr="00962520">
        <w:t>‘</w:t>
      </w:r>
      <w:r w:rsidR="00DE24B4" w:rsidRPr="00962520">
        <w:t xml:space="preserve">12 </w:t>
      </w:r>
      <w:r w:rsidRPr="00962520">
        <w:t xml:space="preserve">Section </w:t>
      </w:r>
      <w:r w:rsidR="00DE24B4" w:rsidRPr="00962520">
        <w:t xml:space="preserve">3439; Civ. C. </w:t>
      </w:r>
      <w:r w:rsidRPr="00962520">
        <w:t>‘</w:t>
      </w:r>
      <w:r w:rsidR="00DE24B4" w:rsidRPr="00962520">
        <w:t xml:space="preserve">02 </w:t>
      </w:r>
      <w:r w:rsidRPr="00962520">
        <w:t xml:space="preserve">Section </w:t>
      </w:r>
      <w:r w:rsidR="00DE24B4" w:rsidRPr="00962520">
        <w:t>2353; G. S. 1761; R. S. 1872; 1712 (2) 413.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Property 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315.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Property </w:t>
      </w:r>
      <w:r w:rsidR="00962520" w:rsidRPr="00962520">
        <w:t xml:space="preserve">Sections </w:t>
      </w:r>
      <w:r w:rsidRPr="00962520">
        <w:t xml:space="preserve"> 62 to 64.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Forms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Am. Jur. Pl. &amp; Pr. Forms Estates </w:t>
      </w:r>
      <w:r w:rsidR="00962520" w:rsidRPr="00962520">
        <w:t xml:space="preserve">Section </w:t>
      </w:r>
      <w:r w:rsidRPr="00962520">
        <w:t>1 , Introductory Comments.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LAW REVIEW AND JOURNAL COMMENTARIES</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The Effect of a Conflict Between the Granting and Habendum Clauses in Deeds in South Carolina. 10 SC LQ 431.</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20.</w:t>
      </w:r>
      <w:r w:rsidR="00DE24B4" w:rsidRPr="00962520">
        <w:t xml:space="preserve"> Rule in Shelley</w:t>
      </w:r>
      <w:r w:rsidRPr="00962520">
        <w:t>’</w:t>
      </w:r>
      <w:r w:rsidR="00DE24B4" w:rsidRPr="00962520">
        <w:t>s Case.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The rule of law known as the rule in Shelley</w:t>
      </w:r>
      <w:r w:rsidR="00962520" w:rsidRPr="00962520">
        <w:t>’</w:t>
      </w:r>
      <w:r w:rsidRPr="00962520">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2; 1952 Code </w:t>
      </w:r>
      <w:r w:rsidRPr="00962520">
        <w:t xml:space="preserve">Section </w:t>
      </w:r>
      <w:r w:rsidR="00DE24B4" w:rsidRPr="00962520">
        <w:t>57</w:t>
      </w:r>
      <w:r w:rsidRPr="00962520">
        <w:noBreakHyphen/>
      </w:r>
      <w:r w:rsidR="00DE24B4" w:rsidRPr="00962520">
        <w:t xml:space="preserve">2; 1942 Code </w:t>
      </w:r>
      <w:r w:rsidRPr="00962520">
        <w:t xml:space="preserve">Section </w:t>
      </w:r>
      <w:r w:rsidR="00DE24B4" w:rsidRPr="00962520">
        <w:t xml:space="preserve">8802; 1932 Code </w:t>
      </w:r>
      <w:r w:rsidRPr="00962520">
        <w:t xml:space="preserve">Section </w:t>
      </w:r>
      <w:r w:rsidR="00DE24B4" w:rsidRPr="00962520">
        <w:t>8802; 1924 (33) 1140.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Deeds 128.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120.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Deeds </w:t>
      </w:r>
      <w:r w:rsidR="00962520" w:rsidRPr="00962520">
        <w:t xml:space="preserve">Section </w:t>
      </w:r>
      <w:r w:rsidRPr="00962520">
        <w:t>263.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Treatises and Practice Aids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(2d) of Property, Don. Trans. </w:t>
      </w:r>
      <w:r w:rsidR="00962520" w:rsidRPr="00962520">
        <w:t xml:space="preserve">Section </w:t>
      </w:r>
      <w:r w:rsidRPr="00962520">
        <w:t>30.1, Rule in Shelley</w:t>
      </w:r>
      <w:r w:rsidR="00962520" w:rsidRPr="00962520">
        <w:t>’</w:t>
      </w:r>
      <w:r w:rsidRPr="00962520">
        <w:t>s Case.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16.2, Rule in Shelley</w:t>
      </w:r>
      <w:r w:rsidR="00962520" w:rsidRPr="00962520">
        <w:t>’</w:t>
      </w:r>
      <w:r w:rsidRPr="00962520">
        <w:t>s Case Not Recognized.</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16.2 TD 4, Rule in Shelley</w:t>
      </w:r>
      <w:r w:rsidR="00962520" w:rsidRPr="00962520">
        <w:t>’</w:t>
      </w:r>
      <w:r w:rsidRPr="00962520">
        <w:t>s Case Repudiated.</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LAW REVIEW AND JOURNAL COMMENTARIES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The Fee Simple Conditional in South Carolina. 18 S.C. L. Rev. 476.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NOTES OF DECISIONS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general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1. In general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 application to will executed before October 1, 1924. United States v 15,883.55 Acres of Land (1942, DC SC) 44 F Supp 544. Jarecky v Jarecky (1940) 194 SC 456, 9 SE2d 922. United States v 15,883.55 Acres of Land (1944, DC SC) 54 F Supp 849. Woodle v Tilghman (1959) 234 SC 123, 107 SE2d 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While it is true that prior to the adoption of this section, the rule in Shelley</w:t>
      </w:r>
      <w:r w:rsidR="00962520" w:rsidRPr="00962520">
        <w:t>’</w:t>
      </w:r>
      <w:r w:rsidRPr="00962520">
        <w:t xml:space="preserve">s Case was still binding authority in South Carolina; however, when it appears that the words </w:t>
      </w:r>
      <w:r w:rsidR="00962520" w:rsidRPr="00962520">
        <w:t>“</w:t>
      </w:r>
      <w:r w:rsidRPr="00962520">
        <w:t>heirs,</w:t>
      </w:r>
      <w:r w:rsidR="00962520" w:rsidRPr="00962520">
        <w:t>”</w:t>
      </w:r>
      <w:r w:rsidRPr="00962520">
        <w:t xml:space="preserve"> </w:t>
      </w:r>
      <w:r w:rsidR="00962520" w:rsidRPr="00962520">
        <w:t>“</w:t>
      </w:r>
      <w:r w:rsidRPr="00962520">
        <w:t>heirs of the body,</w:t>
      </w:r>
      <w:r w:rsidR="00962520" w:rsidRPr="00962520">
        <w:t>”</w:t>
      </w:r>
      <w:r w:rsidRPr="00962520">
        <w:t xml:space="preserve"> or </w:t>
      </w:r>
      <w:r w:rsidR="00962520" w:rsidRPr="00962520">
        <w:t>“</w:t>
      </w:r>
      <w:r w:rsidRPr="00962520">
        <w:t>issue</w:t>
      </w:r>
      <w:r w:rsidR="00962520" w:rsidRPr="00962520">
        <w:t>”</w:t>
      </w:r>
      <w:r w:rsidRPr="00962520">
        <w:t xml:space="preserve"> are so qualified by additional words in the will as to evince an intention that they are not to be taken as descriptive </w:t>
      </w:r>
      <w:r w:rsidRPr="00962520">
        <w:lastRenderedPageBreak/>
        <w:t>of an indefinite line of descent, but are used to indicate a new stock of inheritance, the rule in Shelley</w:t>
      </w:r>
      <w:r w:rsidR="00962520" w:rsidRPr="00962520">
        <w:t>’</w:t>
      </w:r>
      <w:r w:rsidRPr="00962520">
        <w:t>s Case does not apply. Hydrick v. Greene (S.C. 1967) 249 S.C. 382, 154 S.E.2d 565.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 application to deed executed prior to that date. Smoak v. McClure (S.C. 1960) 236 S.C. 548, 115 S.E.2d 55.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The enactment of this section was prompted by the fact that the application of the rule frequently defeated the intention of the testator. Woodle v. Tilghman (S.C. 1959) 234 S.C. 123, 107 S.E.2d 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Cited in Green v. Green (S.C. 1947) 210 S.C. 391, 42 S.E.2d 884.</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Applied in Blume v. Pearcy (S.C. 1944) 204 S.C. 409, 29 S.E.2d 673.</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30.</w:t>
      </w:r>
      <w:r w:rsidR="00DE24B4" w:rsidRPr="00962520">
        <w:t xml:space="preserve"> Construction of terms </w:t>
      </w:r>
      <w:r w:rsidRPr="00962520">
        <w:t>“</w:t>
      </w:r>
      <w:r w:rsidR="00DE24B4" w:rsidRPr="00962520">
        <w:t>failure of issue</w:t>
      </w:r>
      <w:r w:rsidRPr="00962520">
        <w:t>”</w:t>
      </w:r>
      <w:r w:rsidR="00DE24B4" w:rsidRPr="00962520">
        <w:t xml:space="preserve"> and the like.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3; 1952 Code </w:t>
      </w:r>
      <w:r w:rsidRPr="00962520">
        <w:t xml:space="preserve">Section </w:t>
      </w:r>
      <w:r w:rsidR="00DE24B4" w:rsidRPr="00962520">
        <w:t>57</w:t>
      </w:r>
      <w:r w:rsidRPr="00962520">
        <w:noBreakHyphen/>
      </w:r>
      <w:r w:rsidR="00DE24B4" w:rsidRPr="00962520">
        <w:t xml:space="preserve">3; 1942 Code </w:t>
      </w:r>
      <w:r w:rsidRPr="00962520">
        <w:t xml:space="preserve">Section </w:t>
      </w:r>
      <w:r w:rsidR="00DE24B4" w:rsidRPr="00962520">
        <w:t xml:space="preserve">8871; 1932 Code </w:t>
      </w:r>
      <w:r w:rsidRPr="00962520">
        <w:t xml:space="preserve">Section </w:t>
      </w:r>
      <w:r w:rsidR="00DE24B4" w:rsidRPr="00962520">
        <w:t xml:space="preserve">8871; Civ. C. </w:t>
      </w:r>
      <w:r w:rsidRPr="00962520">
        <w:t>‘</w:t>
      </w:r>
      <w:r w:rsidR="00DE24B4" w:rsidRPr="00962520">
        <w:t xml:space="preserve">22 </w:t>
      </w:r>
      <w:r w:rsidRPr="00962520">
        <w:t xml:space="preserve">Section </w:t>
      </w:r>
      <w:r w:rsidR="00DE24B4" w:rsidRPr="00962520">
        <w:t xml:space="preserve">5323; Civ. C. </w:t>
      </w:r>
      <w:r w:rsidRPr="00962520">
        <w:t>‘</w:t>
      </w:r>
      <w:r w:rsidR="00DE24B4" w:rsidRPr="00962520">
        <w:t xml:space="preserve">12 </w:t>
      </w:r>
      <w:r w:rsidRPr="00962520">
        <w:t xml:space="preserve">Section </w:t>
      </w:r>
      <w:r w:rsidR="00DE24B4" w:rsidRPr="00962520">
        <w:t xml:space="preserve">3551; Civ. C. </w:t>
      </w:r>
      <w:r w:rsidRPr="00962520">
        <w:t>‘</w:t>
      </w:r>
      <w:r w:rsidR="00DE24B4" w:rsidRPr="00962520">
        <w:t xml:space="preserve">02 </w:t>
      </w:r>
      <w:r w:rsidRPr="00962520">
        <w:t xml:space="preserve">Section </w:t>
      </w:r>
      <w:r w:rsidR="00DE24B4" w:rsidRPr="00962520">
        <w:t>2464; G. S. 1682; R. S. 1976; 1853 (12) 298.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Deeds 125.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Wills 11, 722, 723.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Nos. 120, 409.</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Deeds </w:t>
      </w:r>
      <w:r w:rsidR="00962520" w:rsidRPr="00962520">
        <w:t xml:space="preserve">Section </w:t>
      </w:r>
      <w:r w:rsidRPr="00962520">
        <w:t>246.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Wills </w:t>
      </w:r>
      <w:r w:rsidR="00962520" w:rsidRPr="00962520">
        <w:t xml:space="preserve">Sections </w:t>
      </w:r>
      <w:r w:rsidRPr="00962520">
        <w:t xml:space="preserve"> 76 to 87, 381, 1614 to 1616.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Treatises and Practice Aids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 xml:space="preserve">26.8, Meaning of </w:t>
      </w:r>
      <w:r w:rsidR="00962520" w:rsidRPr="00962520">
        <w:t>“</w:t>
      </w:r>
      <w:r w:rsidRPr="00962520">
        <w:t>Death Without Issue</w:t>
      </w:r>
      <w:r w:rsidR="00962520" w:rsidRPr="00962520">
        <w:t>”</w:t>
      </w:r>
      <w:r w:rsidRPr="00962520">
        <w:t>.</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 xml:space="preserve">26.8 TD 6, Meaning of </w:t>
      </w:r>
      <w:r w:rsidR="00962520" w:rsidRPr="00962520">
        <w:t>“</w:t>
      </w:r>
      <w:r w:rsidRPr="00962520">
        <w:t>Death Without Issue</w:t>
      </w:r>
      <w:r w:rsidR="00962520" w:rsidRPr="00962520">
        <w:t>”</w:t>
      </w:r>
      <w:r w:rsidRPr="00962520">
        <w:t>.</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LAW REVIEW AND JOURNAL COMMENTARIES</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t>
      </w:r>
      <w:r w:rsidR="00DE24B4" w:rsidRPr="00962520">
        <w:t>The Creation of Estates by Implication,</w:t>
      </w:r>
      <w:r w:rsidRPr="00962520">
        <w:t>”</w:t>
      </w:r>
      <w:r w:rsidR="00DE24B4" w:rsidRPr="00962520">
        <w:t xml:space="preserve"> 11 SC LQ 352 (1959).</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The Effect of a Conflict Between the Granting and Habendum Clauses in Deeds in South Carolina. 10 SC LQ 431.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NOTES OF DECISIONS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general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Devise with reversion to testator</w:t>
      </w:r>
      <w:r w:rsidR="00962520" w:rsidRPr="00962520">
        <w:t>’</w:t>
      </w:r>
      <w:r w:rsidRPr="00962520">
        <w:t>s heirs if devisee dies without issue as creating defeasible fee 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Limitation over on death of remainderman without issue as creating defeasible fee 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Provision insufficient to create fee conditional 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Provision sufficient to create fee conditional 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View that devise to one and </w:t>
      </w:r>
      <w:r w:rsidR="00962520" w:rsidRPr="00962520">
        <w:t>“</w:t>
      </w:r>
      <w:r w:rsidRPr="00962520">
        <w:t>issues</w:t>
      </w:r>
      <w:r w:rsidR="00962520" w:rsidRPr="00962520">
        <w:t>”</w:t>
      </w:r>
      <w:r w:rsidRPr="00962520">
        <w:t xml:space="preserve"> of his body is not void for remoteness 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1. In general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Section does not abolish rule in Shelley</w:t>
      </w:r>
      <w:r w:rsidR="00962520" w:rsidRPr="00962520">
        <w:t>’</w:t>
      </w:r>
      <w:r w:rsidRPr="00962520">
        <w:t>s Case. Fields v Watson (1885) 23 SC 42. Bethea v Bethea (1897) 48 SC 440, 26 SE 716. Woodle v Tilghman (1959) 234 SC 123, 107 SE2d 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Section applies only to instruments taking effect since its date. Blum v Evans (1878) 10 SC 56. Graham v Moore (1880) 13 SC 115. Mendenhall v Mower (1881) 16 SC 303. Powers v Bullwinkle (1890) 33 SC 293, 11 SE 971. Selman v Robertson (1896) 46 SC 262, 24 SE 187. Bradford v Griffin (1894) 40 SC 468, 19 SE 76.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Cited in Murchison Nat. Bank v McInnis (1929) 153 SC 382, 150 SE 895. Mattison v Mattison (1903) 65 SC 345, 43 SE 874. Scarborough v. Scarborough (S.C. 1965) 246 S.C. 51, 142 S.E.2d 706.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Applied in Monk v. Geddes (S.C. 1930) 159 S.C. 86, 156 S.E. 175.</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t>
      </w:r>
      <w:r w:rsidR="00DE24B4" w:rsidRPr="00962520">
        <w:t>Heirs</w:t>
      </w:r>
      <w:r w:rsidRPr="00962520">
        <w:t>”</w:t>
      </w:r>
      <w:r w:rsidR="00DE24B4" w:rsidRPr="00962520">
        <w:t xml:space="preserve"> is not mentioned in this section in express terms, but the section clearly shows that it was intended to embrace words other than </w:t>
      </w:r>
      <w:r w:rsidRPr="00962520">
        <w:t>“</w:t>
      </w:r>
      <w:r w:rsidR="00DE24B4" w:rsidRPr="00962520">
        <w:t>heirs of the body,</w:t>
      </w:r>
      <w:r w:rsidRPr="00962520">
        <w:t>”</w:t>
      </w:r>
      <w:r w:rsidR="00DE24B4" w:rsidRPr="00962520">
        <w:t xml:space="preserve"> </w:t>
      </w:r>
      <w:r w:rsidRPr="00962520">
        <w:t>“</w:t>
      </w:r>
      <w:r w:rsidR="00DE24B4" w:rsidRPr="00962520">
        <w:t>issue,</w:t>
      </w:r>
      <w:r w:rsidRPr="00962520">
        <w:t>”</w:t>
      </w:r>
      <w:r w:rsidR="00DE24B4" w:rsidRPr="00962520">
        <w:t xml:space="preserve"> or </w:t>
      </w:r>
      <w:r w:rsidRPr="00962520">
        <w:t>“</w:t>
      </w:r>
      <w:r w:rsidR="00DE24B4" w:rsidRPr="00962520">
        <w:t>issue of the body.</w:t>
      </w:r>
      <w:r w:rsidRPr="00962520">
        <w:t>”</w:t>
      </w:r>
      <w:r w:rsidR="00DE24B4" w:rsidRPr="00962520">
        <w:t xml:space="preserve"> Otherwise, it would not </w:t>
      </w:r>
      <w:r w:rsidR="00DE24B4" w:rsidRPr="00962520">
        <w:lastRenderedPageBreak/>
        <w:t xml:space="preserve">have said </w:t>
      </w:r>
      <w:r w:rsidRPr="00962520">
        <w:t>“</w:t>
      </w:r>
      <w:r w:rsidR="00DE24B4" w:rsidRPr="00962520">
        <w:t>or other equivalent words.</w:t>
      </w:r>
      <w:r w:rsidRPr="00962520">
        <w:t>”</w:t>
      </w:r>
      <w:r w:rsidR="00DE24B4" w:rsidRPr="00962520">
        <w:t xml:space="preserve"> In fact, we are unable to conceive of any other equivalent words, except </w:t>
      </w:r>
      <w:r w:rsidRPr="00962520">
        <w:t>“</w:t>
      </w:r>
      <w:r w:rsidR="00DE24B4" w:rsidRPr="00962520">
        <w:t>heirs,</w:t>
      </w:r>
      <w:r w:rsidRPr="00962520">
        <w:t>”</w:t>
      </w:r>
      <w:r w:rsidR="00DE24B4" w:rsidRPr="00962520">
        <w:t xml:space="preserve"> that would render necessary a resort to the provisions of this section in order to prevent a limitation from taking effect upon the death of a person on the ground that it was too remote. Owings v. Wood (S.C. 1916) 105 S.C. 176, 89 S.E. 667.</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2. Limitation over on death of remainderman without issue as creating defeasible fee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A testator gave all of his real and personal property to his wife for life and after her death to be divided equally between their children, share and share alike, and provided in a following clause that, if any of the children should die and not leave any issue living, his or her share should be equally divided between the children </w:t>
      </w:r>
      <w:r w:rsidR="00962520" w:rsidRPr="00962520">
        <w:t>“</w:t>
      </w:r>
      <w:r w:rsidRPr="00962520">
        <w:t>then living</w:t>
      </w:r>
      <w:r w:rsidR="00962520" w:rsidRPr="00962520">
        <w:t>”</w:t>
      </w:r>
      <w:r w:rsidRPr="00962520">
        <w:t xml:space="preserve"> or their issue. In construing such will in connection with this section, the children took a fee defeasible on their death at any time without issue living at the time of the death, since </w:t>
      </w:r>
      <w:r w:rsidR="00962520" w:rsidRPr="00962520">
        <w:t>“</w:t>
      </w:r>
      <w:r w:rsidRPr="00962520">
        <w:t>then</w:t>
      </w:r>
      <w:r w:rsidR="00962520" w:rsidRPr="00962520">
        <w:t>”</w:t>
      </w:r>
      <w:r w:rsidRPr="00962520">
        <w:t xml:space="preserve"> means </w:t>
      </w:r>
      <w:r w:rsidR="00962520" w:rsidRPr="00962520">
        <w:t>“</w:t>
      </w:r>
      <w:r w:rsidRPr="00962520">
        <w:t>at that time,</w:t>
      </w:r>
      <w:r w:rsidR="00962520" w:rsidRPr="00962520">
        <w:t>”</w:t>
      </w:r>
      <w:r w:rsidRPr="00962520">
        <w:t xml:space="preserve"> referring to a time specified, either past or future, and has no power itself to fix a time, but simply refers to a time already fixed. Bischoff v. Atlantic Realty Corp. (S.C. 1913) 95 S.C. 276, 78 S.E. 988.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3. Devise with reversion to testator</w:t>
      </w:r>
      <w:r w:rsidR="00962520" w:rsidRPr="00962520">
        <w:t>’</w:t>
      </w:r>
      <w:r w:rsidRPr="00962520">
        <w:t>s heirs if devisee dies without issue as creating defeasible fee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Under a will devising land to a son and providing that if the son should die without issue, the land should revert back to the heirs of testator</w:t>
      </w:r>
      <w:r w:rsidR="00962520" w:rsidRPr="00962520">
        <w:t>’</w:t>
      </w:r>
      <w:r w:rsidRPr="00962520">
        <w:t>s body, the son</w:t>
      </w:r>
      <w:r w:rsidR="00962520" w:rsidRPr="00962520">
        <w:t>’</w:t>
      </w:r>
      <w:r w:rsidRPr="00962520">
        <w:t>s children took no estate, directly or by implication, and the son took a defeasible fee under this section which did not become indefeasible on the birth of his children. Drummond v. Drummond (S.C. 1928) 146 S.C. 194, 143 S.E. 818.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4. View that devise to one and </w:t>
      </w:r>
      <w:r w:rsidR="00962520" w:rsidRPr="00962520">
        <w:t>“</w:t>
      </w:r>
      <w:r w:rsidRPr="00962520">
        <w:t>issues</w:t>
      </w:r>
      <w:r w:rsidR="00962520" w:rsidRPr="00962520">
        <w:t>”</w:t>
      </w:r>
      <w:r w:rsidRPr="00962520">
        <w:t xml:space="preserve"> of his body is not void for remoteness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Under this section a devise to one and </w:t>
      </w:r>
      <w:r w:rsidR="00962520" w:rsidRPr="00962520">
        <w:t>“</w:t>
      </w:r>
      <w:r w:rsidRPr="00962520">
        <w:t>the lawful issues of his body,</w:t>
      </w:r>
      <w:r w:rsidR="00962520" w:rsidRPr="00962520">
        <w:t>”</w:t>
      </w:r>
      <w:r w:rsidRPr="00962520">
        <w:t xml:space="preserve"> and if he </w:t>
      </w:r>
      <w:r w:rsidR="00962520" w:rsidRPr="00962520">
        <w:t>“</w:t>
      </w:r>
      <w:r w:rsidRPr="00962520">
        <w:t>should die without lawful issues,</w:t>
      </w:r>
      <w:r w:rsidR="00962520" w:rsidRPr="00962520">
        <w:t>”</w:t>
      </w:r>
      <w:r w:rsidRPr="00962520">
        <w:t xml:space="preserve"> then over, must be read as </w:t>
      </w:r>
      <w:r w:rsidR="00962520" w:rsidRPr="00962520">
        <w:t>“</w:t>
      </w:r>
      <w:r w:rsidRPr="00962520">
        <w:t>without leaving lawful issues living at the time of his death,</w:t>
      </w:r>
      <w:r w:rsidR="00962520" w:rsidRPr="00962520">
        <w:t>”</w:t>
      </w:r>
      <w:r w:rsidRPr="00962520">
        <w:t xml:space="preserve"> and is not void for remoteness. Bethea v. Bethea (S.C. 1897) 48 S.C. 440, 26 S.E. 716. Wills 601(10)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5. Provision insufficient to create fee conditional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Under this section, a grant to a child, followed by a provision that if grantee dies without lawful heirs, the property must return to the grantor</w:t>
      </w:r>
      <w:r w:rsidR="00962520" w:rsidRPr="00962520">
        <w:t>’</w:t>
      </w:r>
      <w:r w:rsidRPr="00962520">
        <w:t>s estate, was held not sufficient to create a fee conditional. Wilson v. Poston (S.C. 1922) 119 S.C. 67, 111 S.E. 873.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6. Provision sufficient to create fee conditional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Mazyck v Vanderhorst (1828) 8 SC Eq 48, cited in Strother v Folk (1922) 123 SC 127, 115 SE 605, the devise was to A. and to the heirs of her body forever, but if she should die leaving no lawful heir or heirs of her body, then over. It was held that A. took a fee conditional, and that the limitation over was too remote as indicating an indefinite line of succession. Mazyck v Vanderhorst (1828) 8 SC Eq 48, cited in Strother v Folk (1922) 123 SC 127, 115 SE 605.</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Where testator devised certain land to his wife for her life, and at her death to his daughter</w:t>
      </w:r>
      <w:r w:rsidR="00962520" w:rsidRPr="00962520">
        <w:noBreakHyphen/>
      </w:r>
      <w:r w:rsidRPr="00962520">
        <w:t>in</w:t>
      </w:r>
      <w:r w:rsidR="00962520" w:rsidRPr="00962520">
        <w:noBreakHyphen/>
      </w:r>
      <w:r w:rsidRPr="00962520">
        <w:t>law for and during her life, and, in case of her death without issue, then to certain named heirs, such devise was a conveyance of a fee conditional to such daughter</w:t>
      </w:r>
      <w:r w:rsidR="00962520" w:rsidRPr="00962520">
        <w:noBreakHyphen/>
      </w:r>
      <w:r w:rsidRPr="00962520">
        <w:t>in</w:t>
      </w:r>
      <w:r w:rsidR="00962520" w:rsidRPr="00962520">
        <w:noBreakHyphen/>
      </w:r>
      <w:r w:rsidRPr="00962520">
        <w:t>law by implication under this section, such daughter</w:t>
      </w:r>
      <w:r w:rsidR="00962520" w:rsidRPr="00962520">
        <w:noBreakHyphen/>
      </w:r>
      <w:r w:rsidRPr="00962520">
        <w:t>in</w:t>
      </w:r>
      <w:r w:rsidR="00962520" w:rsidRPr="00962520">
        <w:noBreakHyphen/>
      </w:r>
      <w:r w:rsidRPr="00962520">
        <w:t>law then having a son alive who has since died. Harkey v. Neville (S.C. 1904) 70 S.C. 125, 49 S.E. 218. Wills 602(3)</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40.</w:t>
      </w:r>
      <w:r w:rsidR="00DE24B4" w:rsidRPr="00962520">
        <w:t xml:space="preserve"> Feoffment with livery of seizin shall not defeat remainder.</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No estate in remainder, whether vested or contingent, shall be defeated by any deed of feoffment with livery of seizin.</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4; 1952 Code </w:t>
      </w:r>
      <w:r w:rsidRPr="00962520">
        <w:t xml:space="preserve">Section </w:t>
      </w:r>
      <w:r w:rsidR="00DE24B4" w:rsidRPr="00962520">
        <w:t>57</w:t>
      </w:r>
      <w:r w:rsidRPr="00962520">
        <w:noBreakHyphen/>
      </w:r>
      <w:r w:rsidR="00DE24B4" w:rsidRPr="00962520">
        <w:t xml:space="preserve">4; 1942 Code </w:t>
      </w:r>
      <w:r w:rsidRPr="00962520">
        <w:t xml:space="preserve">Section </w:t>
      </w:r>
      <w:r w:rsidR="00DE24B4" w:rsidRPr="00962520">
        <w:t xml:space="preserve">8872; 1932 Code </w:t>
      </w:r>
      <w:r w:rsidRPr="00962520">
        <w:t xml:space="preserve">Section </w:t>
      </w:r>
      <w:r w:rsidR="00DE24B4" w:rsidRPr="00962520">
        <w:t xml:space="preserve">8872; Civ. C. </w:t>
      </w:r>
      <w:r w:rsidRPr="00962520">
        <w:t>‘</w:t>
      </w:r>
      <w:r w:rsidR="00DE24B4" w:rsidRPr="00962520">
        <w:t xml:space="preserve">22 </w:t>
      </w:r>
      <w:r w:rsidRPr="00962520">
        <w:t xml:space="preserve">Section </w:t>
      </w:r>
      <w:r w:rsidR="00DE24B4" w:rsidRPr="00962520">
        <w:t xml:space="preserve">5324; Civ. C. </w:t>
      </w:r>
      <w:r w:rsidRPr="00962520">
        <w:t>‘</w:t>
      </w:r>
      <w:r w:rsidR="00DE24B4" w:rsidRPr="00962520">
        <w:t xml:space="preserve">12 </w:t>
      </w:r>
      <w:r w:rsidRPr="00962520">
        <w:t xml:space="preserve">Section </w:t>
      </w:r>
      <w:r w:rsidR="00DE24B4" w:rsidRPr="00962520">
        <w:t xml:space="preserve">3552; Civ. C. </w:t>
      </w:r>
      <w:r w:rsidRPr="00962520">
        <w:t>‘</w:t>
      </w:r>
      <w:r w:rsidR="00DE24B4" w:rsidRPr="00962520">
        <w:t xml:space="preserve">02 </w:t>
      </w:r>
      <w:r w:rsidRPr="00962520">
        <w:t xml:space="preserve">Section </w:t>
      </w:r>
      <w:r w:rsidR="00DE24B4" w:rsidRPr="00962520">
        <w:t>2465; R. S. 1977; 1883 (18) 430.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NOTES OF DECISIONS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general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1. In general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Related cases, as to contingent remaindermen, see Hunt v Gower (1908) 80 SC 80, 61 SE 218; as to effect of deed in ordinary form, see Young v McNeill (1907) 78 SC 143, 59 SE 986; as to vacating deed of infant contingent remainderman after vesting of interest after majority, see Steele v Poe (1908) 79 SC 407, 60 SE 951.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Cited in Charleston &amp; W. C. R. Co. v Reynolds (1904) 69 SC 581, 48 SE 476. Peoples Loan &amp; Exchange Bank v Garlington (1899) 54 SC 413, 32 SE 513. Bowen v Humphreys (1884) 24 SC 452.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Under this section a life tenant cannot destroy contingent remainders, and there is no peril of destruction that requires a trustee to protect same. Spann v. Carson (S.C. 1923) 123 S.C. 371, 116 S.E. 427.</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The court cannot extend this section beyond its plain meaning, thus, it can have no effect to defeat a right acquired by merger before its enactment. McCreary v. Coggeshall (S.C. 1906) 74 S.C. 42, 53 S.E. 978.</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50.</w:t>
      </w:r>
      <w:r w:rsidR="00DE24B4" w:rsidRPr="00962520">
        <w:t xml:space="preserve"> Warranties by life tenants; collateral warranties.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All warranties which shall be made by any tenant for life of any lands, tenements or hereditaments descending or coming to any person in reversion or remainder shall be void and of no effect.</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All collateral warranties which shall be made of any lands, tenements or hereditaments by any ancestor who has no estate of inheritance in possession in them shall be void against his heir.</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5; 1952 Code </w:t>
      </w:r>
      <w:r w:rsidRPr="00962520">
        <w:t xml:space="preserve">Section </w:t>
      </w:r>
      <w:r w:rsidR="00DE24B4" w:rsidRPr="00962520">
        <w:t>57</w:t>
      </w:r>
      <w:r w:rsidRPr="00962520">
        <w:noBreakHyphen/>
      </w:r>
      <w:r w:rsidR="00DE24B4" w:rsidRPr="00962520">
        <w:t xml:space="preserve">5; 1942 Code </w:t>
      </w:r>
      <w:r w:rsidRPr="00962520">
        <w:t xml:space="preserve">Section </w:t>
      </w:r>
      <w:r w:rsidR="00DE24B4" w:rsidRPr="00962520">
        <w:t xml:space="preserve">8801; 1932 Code </w:t>
      </w:r>
      <w:r w:rsidRPr="00962520">
        <w:t xml:space="preserve">Section </w:t>
      </w:r>
      <w:r w:rsidR="00DE24B4" w:rsidRPr="00962520">
        <w:t xml:space="preserve">8801; Civ. C. </w:t>
      </w:r>
      <w:r w:rsidRPr="00962520">
        <w:t>‘</w:t>
      </w:r>
      <w:r w:rsidR="00DE24B4" w:rsidRPr="00962520">
        <w:t xml:space="preserve">22 </w:t>
      </w:r>
      <w:r w:rsidRPr="00962520">
        <w:t xml:space="preserve">Section </w:t>
      </w:r>
      <w:r w:rsidR="00DE24B4" w:rsidRPr="00962520">
        <w:t xml:space="preserve">5268; Civ. C. </w:t>
      </w:r>
      <w:r w:rsidRPr="00962520">
        <w:t>‘</w:t>
      </w:r>
      <w:r w:rsidR="00DE24B4" w:rsidRPr="00962520">
        <w:t xml:space="preserve">12 </w:t>
      </w:r>
      <w:r w:rsidRPr="00962520">
        <w:t xml:space="preserve">Section </w:t>
      </w:r>
      <w:r w:rsidR="00DE24B4" w:rsidRPr="00962520">
        <w:t xml:space="preserve">3498; Civ. C. </w:t>
      </w:r>
      <w:r w:rsidRPr="00962520">
        <w:t>‘</w:t>
      </w:r>
      <w:r w:rsidR="00DE24B4" w:rsidRPr="00962520">
        <w:t xml:space="preserve">02 </w:t>
      </w:r>
      <w:r w:rsidRPr="00962520">
        <w:t xml:space="preserve">Section </w:t>
      </w:r>
      <w:r w:rsidR="00DE24B4" w:rsidRPr="00962520">
        <w:t>2412; G. S. 1809; R. S. 1928; 1712 (2) 437.</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60.</w:t>
      </w:r>
      <w:r w:rsidR="00DE24B4" w:rsidRPr="00962520">
        <w:t xml:space="preserve"> Feoffments made by person wrongfully in possession.</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 xml:space="preserve">If any person after such entry as is mentioned in </w:t>
      </w:r>
      <w:r w:rsidR="00962520" w:rsidRPr="00962520">
        <w:t xml:space="preserve">Section </w:t>
      </w:r>
      <w:r w:rsidRPr="00962520">
        <w:t>15</w:t>
      </w:r>
      <w:r w:rsidR="00962520" w:rsidRPr="00962520">
        <w:noBreakHyphen/>
      </w:r>
      <w:r w:rsidRPr="00962520">
        <w:t>67</w:t>
      </w:r>
      <w:r w:rsidR="00962520" w:rsidRPr="00962520">
        <w:noBreakHyphen/>
      </w:r>
      <w:r w:rsidRPr="00962520">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6; 1952 Code </w:t>
      </w:r>
      <w:r w:rsidRPr="00962520">
        <w:t xml:space="preserve">Section </w:t>
      </w:r>
      <w:r w:rsidR="00DE24B4" w:rsidRPr="00962520">
        <w:t>57</w:t>
      </w:r>
      <w:r w:rsidRPr="00962520">
        <w:noBreakHyphen/>
      </w:r>
      <w:r w:rsidR="00DE24B4" w:rsidRPr="00962520">
        <w:t xml:space="preserve">6; 1942 Code </w:t>
      </w:r>
      <w:r w:rsidRPr="00962520">
        <w:t xml:space="preserve">Section </w:t>
      </w:r>
      <w:r w:rsidR="00DE24B4" w:rsidRPr="00962520">
        <w:t xml:space="preserve">888; 1932 Code </w:t>
      </w:r>
      <w:r w:rsidRPr="00962520">
        <w:t xml:space="preserve">Section </w:t>
      </w:r>
      <w:r w:rsidR="00DE24B4" w:rsidRPr="00962520">
        <w:t xml:space="preserve">888; Civ. P. </w:t>
      </w:r>
      <w:r w:rsidRPr="00962520">
        <w:t>‘</w:t>
      </w:r>
      <w:r w:rsidR="00DE24B4" w:rsidRPr="00962520">
        <w:t xml:space="preserve">22 </w:t>
      </w:r>
      <w:r w:rsidRPr="00962520">
        <w:t xml:space="preserve">Section </w:t>
      </w:r>
      <w:r w:rsidR="00DE24B4" w:rsidRPr="00962520">
        <w:t xml:space="preserve">836; Civ. C. </w:t>
      </w:r>
      <w:r w:rsidRPr="00962520">
        <w:t>‘</w:t>
      </w:r>
      <w:r w:rsidR="00DE24B4" w:rsidRPr="00962520">
        <w:t xml:space="preserve">12 </w:t>
      </w:r>
      <w:r w:rsidRPr="00962520">
        <w:t xml:space="preserve">Section </w:t>
      </w:r>
      <w:r w:rsidR="00DE24B4" w:rsidRPr="00962520">
        <w:t xml:space="preserve">4067; Civ. C. </w:t>
      </w:r>
      <w:r w:rsidRPr="00962520">
        <w:t>‘</w:t>
      </w:r>
      <w:r w:rsidR="00DE24B4" w:rsidRPr="00962520">
        <w:t xml:space="preserve">02 </w:t>
      </w:r>
      <w:r w:rsidRPr="00962520">
        <w:t xml:space="preserve">Section </w:t>
      </w:r>
      <w:r w:rsidR="00DE24B4" w:rsidRPr="00962520">
        <w:t>2966; G. S. 2293; R. S. 2426; 1712 (2) 444.</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80.</w:t>
      </w:r>
      <w:r w:rsidR="00DE24B4" w:rsidRPr="00962520">
        <w:t xml:space="preserve"> Certain pension plans, annuity trusts, and the like of employers exempt from laws against perpetuities.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7.1; 1960 (51) 1630.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CROSS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Business trusts not being affected by rule against perpetuities, see </w:t>
      </w:r>
      <w:r w:rsidR="00962520" w:rsidRPr="00962520">
        <w:t xml:space="preserve">Section </w:t>
      </w:r>
      <w:r w:rsidRPr="00962520">
        <w:t>33</w:t>
      </w:r>
      <w:r w:rsidR="00962520" w:rsidRPr="00962520">
        <w:noBreakHyphen/>
      </w:r>
      <w:r w:rsidRPr="00962520">
        <w:t>53</w:t>
      </w:r>
      <w:r w:rsidR="00962520" w:rsidRPr="00962520">
        <w:noBreakHyphen/>
      </w:r>
      <w:r w:rsidRPr="00962520">
        <w:t>30.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Retirement systems, generally, see </w:t>
      </w:r>
      <w:r w:rsidR="00962520" w:rsidRPr="00962520">
        <w:t xml:space="preserve">Section </w:t>
      </w:r>
      <w:r w:rsidRPr="00962520">
        <w:t>9</w:t>
      </w:r>
      <w:r w:rsidR="00962520" w:rsidRPr="00962520">
        <w:noBreakHyphen/>
      </w:r>
      <w:r w:rsidRPr="00962520">
        <w:t>1</w:t>
      </w:r>
      <w:r w:rsidR="00962520" w:rsidRPr="00962520">
        <w:noBreakHyphen/>
      </w:r>
      <w:r w:rsidRPr="00962520">
        <w:t>10 et seq.</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Uniform Statutory Rule Against Perpetuities, see </w:t>
      </w:r>
      <w:r w:rsidR="00962520" w:rsidRPr="00962520">
        <w:t xml:space="preserve">Section </w:t>
      </w:r>
      <w:r w:rsidRPr="00962520">
        <w:t>27</w:t>
      </w:r>
      <w:r w:rsidR="00962520" w:rsidRPr="00962520">
        <w:noBreakHyphen/>
      </w:r>
      <w:r w:rsidRPr="00962520">
        <w:t>6</w:t>
      </w:r>
      <w:r w:rsidR="00962520" w:rsidRPr="00962520">
        <w:noBreakHyphen/>
      </w:r>
      <w:r w:rsidRPr="00962520">
        <w:t xml:space="preserve">10 et seq., and in particular see </w:t>
      </w:r>
      <w:r w:rsidR="00962520" w:rsidRPr="00962520">
        <w:t xml:space="preserve">Section </w:t>
      </w:r>
      <w:r w:rsidRPr="00962520">
        <w:t>27</w:t>
      </w:r>
      <w:r w:rsidR="00962520" w:rsidRPr="00962520">
        <w:noBreakHyphen/>
      </w:r>
      <w:r w:rsidRPr="00962520">
        <w:t>6</w:t>
      </w:r>
      <w:r w:rsidR="00962520" w:rsidRPr="00962520">
        <w:noBreakHyphen/>
      </w:r>
      <w:r w:rsidRPr="00962520">
        <w:t>50.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Perpetuities 4(15.1).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298.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Perpetuities </w:t>
      </w:r>
      <w:r w:rsidR="00962520" w:rsidRPr="00962520">
        <w:t xml:space="preserve">Sections </w:t>
      </w:r>
      <w:r w:rsidRPr="00962520">
        <w:t xml:space="preserve"> 2, 12, 40.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Treatises and Practice Aids</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 xml:space="preserve">Bogert </w:t>
      </w:r>
      <w:r w:rsidR="00962520" w:rsidRPr="00962520">
        <w:noBreakHyphen/>
      </w:r>
      <w:r w:rsidRPr="00962520">
        <w:t xml:space="preserve"> the Law of Trusts and Trustees </w:t>
      </w:r>
      <w:r w:rsidR="00962520" w:rsidRPr="00962520">
        <w:t xml:space="preserve">Section </w:t>
      </w:r>
      <w:r w:rsidRPr="00962520">
        <w:t>342, The Rule Against Remoteness of Vesting.</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90.</w:t>
      </w:r>
      <w:r w:rsidR="00DE24B4" w:rsidRPr="00962520">
        <w:t xml:space="preserve"> Effect of descent cast.</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The right of a person to the possession of any real property shall not be impaired or affected by a descent being cast in consequence of the death of a person in possession of such property.</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8; 1952 Code </w:t>
      </w:r>
      <w:r w:rsidRPr="00962520">
        <w:t xml:space="preserve">Section </w:t>
      </w:r>
      <w:r w:rsidR="00DE24B4" w:rsidRPr="00962520">
        <w:t>57</w:t>
      </w:r>
      <w:r w:rsidRPr="00962520">
        <w:noBreakHyphen/>
      </w:r>
      <w:r w:rsidR="00DE24B4" w:rsidRPr="00962520">
        <w:t xml:space="preserve">8; 1942 Code </w:t>
      </w:r>
      <w:r w:rsidRPr="00962520">
        <w:t xml:space="preserve">Section </w:t>
      </w:r>
      <w:r w:rsidR="00DE24B4" w:rsidRPr="00962520">
        <w:t xml:space="preserve">383; 1932 Code </w:t>
      </w:r>
      <w:r w:rsidRPr="00962520">
        <w:t xml:space="preserve">Section </w:t>
      </w:r>
      <w:r w:rsidR="00DE24B4" w:rsidRPr="00962520">
        <w:t xml:space="preserve">383; Civ. P. </w:t>
      </w:r>
      <w:r w:rsidRPr="00962520">
        <w:t>‘</w:t>
      </w:r>
      <w:r w:rsidR="00DE24B4" w:rsidRPr="00962520">
        <w:t xml:space="preserve">22 </w:t>
      </w:r>
      <w:r w:rsidRPr="00962520">
        <w:t xml:space="preserve">Section </w:t>
      </w:r>
      <w:r w:rsidR="00DE24B4" w:rsidRPr="00962520">
        <w:t xml:space="preserve">326; Civ. P. </w:t>
      </w:r>
      <w:r w:rsidRPr="00962520">
        <w:t>‘</w:t>
      </w:r>
      <w:r w:rsidR="00DE24B4" w:rsidRPr="00962520">
        <w:t xml:space="preserve">12 </w:t>
      </w:r>
      <w:r w:rsidRPr="00962520">
        <w:t xml:space="preserve">Section </w:t>
      </w:r>
      <w:r w:rsidR="00DE24B4" w:rsidRPr="00962520">
        <w:t xml:space="preserve">132; Civ. P. </w:t>
      </w:r>
      <w:r w:rsidRPr="00962520">
        <w:t>‘</w:t>
      </w:r>
      <w:r w:rsidR="00DE24B4" w:rsidRPr="00962520">
        <w:t xml:space="preserve">02 </w:t>
      </w:r>
      <w:r w:rsidRPr="00962520">
        <w:t xml:space="preserve">Section </w:t>
      </w:r>
      <w:r w:rsidR="00DE24B4" w:rsidRPr="00962520">
        <w:t xml:space="preserve">107; 1870 (14) </w:t>
      </w:r>
      <w:r w:rsidRPr="00962520">
        <w:t xml:space="preserve">Section </w:t>
      </w:r>
      <w:r w:rsidR="00DE24B4" w:rsidRPr="00962520">
        <w:t>110.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NOTES OF DECISIONS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general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1. In general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The common</w:t>
      </w:r>
      <w:r w:rsidR="00962520" w:rsidRPr="00962520">
        <w:noBreakHyphen/>
      </w:r>
      <w:r w:rsidRPr="00962520">
        <w:t>law doctrine that the transmitted possession of the heirs at law is presumed to be rightful is abrogated by the enactment of this section. Powers v Rawles (1922) 119 SC 134, 112 SE 78. Geiger v Kaigler (1881) 15 SC 262. Powers v Rawles (1922) 119 SC 134, 112 SE 78.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This section permits uniting possession of heirs to that of their ancestors. Duren v Kee (1887) 26 SC 219, 2 SE 4. Burnett v Crawford (1897) 50 SC 161, 27 SE 645. Turpin v Sudduth (1898) 53 SC 295, 31 SE 245. Epperson v Stansill (1902) 64 SC 485, 42 SE 426. Kilgore v Kirkland (1904) 69 SC 78, 48 SE 44.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It really does not conflict with the common</w:t>
      </w:r>
      <w:r w:rsidR="00962520" w:rsidRPr="00962520">
        <w:noBreakHyphen/>
      </w:r>
      <w:r w:rsidRPr="00962520">
        <w:t xml:space="preserve">law doctrine that the possession of the ancestor and heir, which are really the same, may be united in making out title under the statute of limitations, but provides that </w:t>
      </w:r>
      <w:r w:rsidR="00962520" w:rsidRPr="00962520">
        <w:t>“</w:t>
      </w:r>
      <w:r w:rsidRPr="00962520">
        <w:t>the right</w:t>
      </w:r>
      <w:r w:rsidR="00962520" w:rsidRPr="00962520">
        <w:t>”</w:t>
      </w:r>
      <w:r w:rsidRPr="00962520">
        <w:t xml:space="preserve"> shall remain against the heir, precisely as it existed against the ancestor before his death. Duren v Kee (1887) 26 SC 219, 2 SE 4. Except where possession of ancestor is interrupted or ended. Congdon v Morgan (1881) 14 SC 587. See also, Johnson v Cobb (1888) 29 SC 372, 7 SE 601.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action involving validity of father</w:t>
      </w:r>
      <w:r w:rsidR="00962520" w:rsidRPr="00962520">
        <w:t>’</w:t>
      </w:r>
      <w:r w:rsidRPr="00962520">
        <w:t>s deed to sons as against validity of father</w:t>
      </w:r>
      <w:r w:rsidR="00962520" w:rsidRPr="00962520">
        <w:t>’</w:t>
      </w:r>
      <w:r w:rsidRPr="00962520">
        <w:t>s subsequent deed to third party, in which there was no issue of adverse possession, refusal to charge that on death of third party his possession passed instantly to defendants as his heirs at law, whether they were actually and physically on the land or not, was held not error in view of instruction that when two parties are in constructive possession of land, he who had the oldest possession and the best title must prevail in view of this section. Powers v. Rawles (S.C. 1922) 119 S.C. 134, 112 S.E. 78. Trial 260(5)</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At common law, the possession of the heir was placed higher than that of the ancestor, who, being a mere trespasser, could be evicted by mere entry. But when the possession of the trespasser was transmitted to the heir, the owner was driven to his action of ejectment, for the law presumed that the possession which was transmitted from ancestor to heir was a rightful possession until the contrary was shown. Therefore, the mere entry of him who had the right would not evict the heir. Duren v. Kee (S.C. 1887) 26 S.C. 219, 2 S.E. 4.</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100.</w:t>
      </w:r>
      <w:r w:rsidR="00DE24B4" w:rsidRPr="00962520">
        <w:t xml:space="preserve"> Right of entry of lawful owner or heirs against heirs of disseizor.</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9; 1952 Code </w:t>
      </w:r>
      <w:r w:rsidRPr="00962520">
        <w:t xml:space="preserve">Section </w:t>
      </w:r>
      <w:r w:rsidR="00DE24B4" w:rsidRPr="00962520">
        <w:t>57</w:t>
      </w:r>
      <w:r w:rsidRPr="00962520">
        <w:noBreakHyphen/>
      </w:r>
      <w:r w:rsidR="00DE24B4" w:rsidRPr="00962520">
        <w:t xml:space="preserve">9; 1942 Code </w:t>
      </w:r>
      <w:r w:rsidRPr="00962520">
        <w:t xml:space="preserve">Section </w:t>
      </w:r>
      <w:r w:rsidR="00DE24B4" w:rsidRPr="00962520">
        <w:t xml:space="preserve">877; 1932 Code </w:t>
      </w:r>
      <w:r w:rsidRPr="00962520">
        <w:t xml:space="preserve">Section </w:t>
      </w:r>
      <w:r w:rsidR="00DE24B4" w:rsidRPr="00962520">
        <w:t xml:space="preserve">877; Civ. P. </w:t>
      </w:r>
      <w:r w:rsidRPr="00962520">
        <w:t>‘</w:t>
      </w:r>
      <w:r w:rsidR="00DE24B4" w:rsidRPr="00962520">
        <w:t xml:space="preserve">22 </w:t>
      </w:r>
      <w:r w:rsidRPr="00962520">
        <w:t xml:space="preserve">Section </w:t>
      </w:r>
      <w:r w:rsidR="00DE24B4" w:rsidRPr="00962520">
        <w:t xml:space="preserve">825; Civ. C. </w:t>
      </w:r>
      <w:r w:rsidRPr="00962520">
        <w:t>‘</w:t>
      </w:r>
      <w:r w:rsidR="00DE24B4" w:rsidRPr="00962520">
        <w:t xml:space="preserve">12 </w:t>
      </w:r>
      <w:r w:rsidRPr="00962520">
        <w:t xml:space="preserve">Section </w:t>
      </w:r>
      <w:r w:rsidR="00DE24B4" w:rsidRPr="00962520">
        <w:t xml:space="preserve">4063; Civ. C. </w:t>
      </w:r>
      <w:r w:rsidRPr="00962520">
        <w:t>‘</w:t>
      </w:r>
      <w:r w:rsidR="00DE24B4" w:rsidRPr="00962520">
        <w:t xml:space="preserve">02 </w:t>
      </w:r>
      <w:r w:rsidRPr="00962520">
        <w:t xml:space="preserve">Section </w:t>
      </w:r>
      <w:r w:rsidR="00DE24B4" w:rsidRPr="00962520">
        <w:t>2962; G. S. 2282; R. S. 2422; 1712 (2) 474.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Adverse Possession 40.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Descent and Distribution 11.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Forcible Entry and Detainer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Nos. 124, 179, 20.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Adverse Possession </w:t>
      </w:r>
      <w:r w:rsidR="00962520" w:rsidRPr="00962520">
        <w:t xml:space="preserve">Sections </w:t>
      </w:r>
      <w:r w:rsidRPr="00962520">
        <w:t xml:space="preserve"> 201 to 204.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Descent and Distribution </w:t>
      </w:r>
      <w:r w:rsidR="00962520" w:rsidRPr="00962520">
        <w:t xml:space="preserve">Sections </w:t>
      </w:r>
      <w:r w:rsidRPr="00962520">
        <w:t xml:space="preserve"> 14 to 15, 18 to 19.</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 xml:space="preserve">C.J.S. Forcible Entry and Detainer </w:t>
      </w:r>
      <w:r w:rsidR="00962520" w:rsidRPr="00962520">
        <w:t xml:space="preserve">Sections </w:t>
      </w:r>
      <w:r w:rsidRPr="00962520">
        <w:t xml:space="preserve"> 3 to 4.</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110.</w:t>
      </w:r>
      <w:r w:rsidR="00DE24B4" w:rsidRPr="00962520">
        <w:t xml:space="preserve"> Entry on land.</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No person shall make any entry into any lands and tenements but in case entry is given by law; and in such case not with strong hand nor with multitude of people, but only in peaceable and easy manner.</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1962 Code </w:t>
      </w:r>
      <w:r w:rsidRPr="00962520">
        <w:t xml:space="preserve">Section </w:t>
      </w:r>
      <w:r w:rsidR="00DE24B4" w:rsidRPr="00962520">
        <w:t>57</w:t>
      </w:r>
      <w:r w:rsidRPr="00962520">
        <w:noBreakHyphen/>
      </w:r>
      <w:r w:rsidR="00DE24B4" w:rsidRPr="00962520">
        <w:t xml:space="preserve">10; 1952 Code </w:t>
      </w:r>
      <w:r w:rsidRPr="00962520">
        <w:t xml:space="preserve">Section </w:t>
      </w:r>
      <w:r w:rsidR="00DE24B4" w:rsidRPr="00962520">
        <w:t>57</w:t>
      </w:r>
      <w:r w:rsidRPr="00962520">
        <w:noBreakHyphen/>
      </w:r>
      <w:r w:rsidR="00DE24B4" w:rsidRPr="00962520">
        <w:t xml:space="preserve">10; 1942 Code </w:t>
      </w:r>
      <w:r w:rsidRPr="00962520">
        <w:t xml:space="preserve">Section </w:t>
      </w:r>
      <w:r w:rsidR="00DE24B4" w:rsidRPr="00962520">
        <w:t xml:space="preserve">885; 1932 Code </w:t>
      </w:r>
      <w:r w:rsidRPr="00962520">
        <w:t xml:space="preserve">Section </w:t>
      </w:r>
      <w:r w:rsidR="00DE24B4" w:rsidRPr="00962520">
        <w:t xml:space="preserve">885; Civ. P. </w:t>
      </w:r>
      <w:r w:rsidRPr="00962520">
        <w:t>‘</w:t>
      </w:r>
      <w:r w:rsidR="00DE24B4" w:rsidRPr="00962520">
        <w:t xml:space="preserve">22 </w:t>
      </w:r>
      <w:r w:rsidRPr="00962520">
        <w:t xml:space="preserve">Section </w:t>
      </w:r>
      <w:r w:rsidR="00DE24B4" w:rsidRPr="00962520">
        <w:t xml:space="preserve">833; Civ. C. </w:t>
      </w:r>
      <w:r w:rsidRPr="00962520">
        <w:t>‘</w:t>
      </w:r>
      <w:r w:rsidR="00DE24B4" w:rsidRPr="00962520">
        <w:t xml:space="preserve">12 </w:t>
      </w:r>
      <w:r w:rsidRPr="00962520">
        <w:t xml:space="preserve">Section </w:t>
      </w:r>
      <w:r w:rsidR="00DE24B4" w:rsidRPr="00962520">
        <w:t xml:space="preserve">4064; Civ. C. </w:t>
      </w:r>
      <w:r w:rsidRPr="00962520">
        <w:t>‘</w:t>
      </w:r>
      <w:r w:rsidR="00DE24B4" w:rsidRPr="00962520">
        <w:t xml:space="preserve">02 </w:t>
      </w:r>
      <w:r w:rsidRPr="00962520">
        <w:t xml:space="preserve">Section </w:t>
      </w:r>
      <w:r w:rsidR="00DE24B4" w:rsidRPr="00962520">
        <w:t>2963; G. S. 2290; R. S. 2423; 1712 (2) 442.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Forcible Entry and Detainer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179.</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Forcible Entry and Detainer </w:t>
      </w:r>
      <w:r w:rsidR="00962520" w:rsidRPr="00962520">
        <w:t xml:space="preserve">Sections </w:t>
      </w:r>
      <w:r w:rsidRPr="00962520">
        <w:t xml:space="preserve"> 3 to 4.</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NOTES OF DECISIONS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In general 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Multitude of people 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Unlawful or forceable entry 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1. In general</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Cited in Brown v Southern R. Co. (1925) 136 SC 214, 131 SE 681. State v Speirin (1802) 3 SCL 119; State v Huntington (1813) 5 SCL 111.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One enjoying an easement is, under this section, entitled to enjoy it free from molestation just as if he held a fee simple. Vance v. Ferguson (S.C. 1915) 101 S.C. 125, 85 S.E. 241.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Possession of lands and tenements must be actual and not constructive in order to come under the provisions of this section. Burt v. State (S.C. 1814) 2 Tread. 489, 3 Brev. 413, 5 S.C.L. 413, 7 S.C.L. 489, 1814 WL 468.</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2. Unlawful or forceable entry</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Forcible entry under this section must be accompanied with circumstances tending to excite terror in the occupant and to prevent him from maintaining his rights. An entry which has no other force than such as is implied in every trespass is not within this section. Barbee v Winnsboro Granite Corp. (1939) 190 SC 245, 2 SE2d 737. Galloway v General Motors Acceptance Corp. (1939, CA4 SC) 106 F2d 466.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An entry of the defendant over the protest of the plaintiff on premises abandoned by the plaintiff</w:t>
      </w:r>
      <w:r w:rsidR="00962520" w:rsidRPr="00962520">
        <w:t>’</w:t>
      </w:r>
      <w:r w:rsidRPr="00962520">
        <w:t>s tenant, made to remove furniture bought from the defendant by tenant but not paid for, constitutes an unlawful entry, even though there was no breach of the peace. Lark v Cooper Furniture Co. (1920) 114 SC 37, 102 SE 786. Lyda v Cooper (1933) 169 SC 451, 169 SE 236.</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Under this section, one who enters and takes land from the possession of another is guilty of forcible entry and detainer if the entry is not given by law, even though he has legal title to the land, since this section protects possession and not title. State v Bates (1911) 87 SC 527, 70 SE 170. See also, Vance v Ferguson (1915) 101 SC 125, 85 SE 241.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Entry and burial in a cemetery lot containing the dead of another constitutes an unlawful entry under this section. Vance v. Ferguson (S.C. 1915) 101 S.C. 125, 85 S.E. 241.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The plaintiff does not have to have actual possession of a cemetery lot in order for there to be an unlawful entry into it by another, since the possession of the keeper of the cemetery is that of the plaintiff. Vance v. Ferguson (S.C. 1915) 101 S.C. 125, 85 S.E. 241.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3. Multitude of people</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It has been held under this section that it is not actually necessary, in order to have an unlawful entry, that it be made by multitude. Any actual unlawful taking possession is such an entry. Burt v. State (S.C. 1814) 2 Tread. 489, 3 Brev. 413, 5 S.C.L. 413, 7 S.C.L. 489, 1814 WL 468.</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120.</w:t>
      </w:r>
      <w:r w:rsidR="00DE24B4" w:rsidRPr="00962520">
        <w:t xml:space="preserve"> Posthumous child shall take under will or settlement.</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Former 1976 Code </w:t>
      </w:r>
      <w:r w:rsidRPr="00962520">
        <w:t xml:space="preserve">Section </w:t>
      </w:r>
      <w:r w:rsidR="00DE24B4" w:rsidRPr="00962520">
        <w:t>21</w:t>
      </w:r>
      <w:r w:rsidRPr="00962520">
        <w:noBreakHyphen/>
      </w:r>
      <w:r w:rsidR="00DE24B4" w:rsidRPr="00962520">
        <w:t>1</w:t>
      </w:r>
      <w:r w:rsidRPr="00962520">
        <w:noBreakHyphen/>
      </w:r>
      <w:r w:rsidR="00DE24B4" w:rsidRPr="00962520">
        <w:t xml:space="preserve">30 [1962 Code </w:t>
      </w:r>
      <w:r w:rsidRPr="00962520">
        <w:t xml:space="preserve">Section </w:t>
      </w:r>
      <w:r w:rsidR="00DE24B4" w:rsidRPr="00962520">
        <w:t>19</w:t>
      </w:r>
      <w:r w:rsidRPr="00962520">
        <w:noBreakHyphen/>
      </w:r>
      <w:r w:rsidR="00DE24B4" w:rsidRPr="00962520">
        <w:t xml:space="preserve">3; 1952 Code </w:t>
      </w:r>
      <w:r w:rsidRPr="00962520">
        <w:t xml:space="preserve">Section </w:t>
      </w:r>
      <w:r w:rsidR="00DE24B4" w:rsidRPr="00962520">
        <w:t>19</w:t>
      </w:r>
      <w:r w:rsidRPr="00962520">
        <w:noBreakHyphen/>
      </w:r>
      <w:r w:rsidR="00DE24B4" w:rsidRPr="00962520">
        <w:t xml:space="preserve">3; 1942 Code </w:t>
      </w:r>
      <w:r w:rsidRPr="00962520">
        <w:t xml:space="preserve">Section </w:t>
      </w:r>
      <w:r w:rsidR="00DE24B4" w:rsidRPr="00962520">
        <w:t xml:space="preserve">8873; 1932 Code </w:t>
      </w:r>
      <w:r w:rsidRPr="00962520">
        <w:t xml:space="preserve">Section </w:t>
      </w:r>
      <w:r w:rsidR="00DE24B4" w:rsidRPr="00962520">
        <w:t xml:space="preserve">8873; Civ. C. </w:t>
      </w:r>
      <w:r w:rsidRPr="00962520">
        <w:t>‘</w:t>
      </w:r>
      <w:r w:rsidR="00DE24B4" w:rsidRPr="00962520">
        <w:t xml:space="preserve">22 </w:t>
      </w:r>
      <w:r w:rsidRPr="00962520">
        <w:t xml:space="preserve">Section </w:t>
      </w:r>
      <w:r w:rsidR="00DE24B4" w:rsidRPr="00962520">
        <w:t xml:space="preserve">5325; Civ. C. </w:t>
      </w:r>
      <w:r w:rsidRPr="00962520">
        <w:t>‘</w:t>
      </w:r>
      <w:r w:rsidR="00DE24B4" w:rsidRPr="00962520">
        <w:t xml:space="preserve">12 </w:t>
      </w:r>
      <w:r w:rsidRPr="00962520">
        <w:t xml:space="preserve">Section </w:t>
      </w:r>
      <w:r w:rsidR="00DE24B4" w:rsidRPr="00962520">
        <w:t xml:space="preserve">3553; Civ. C. </w:t>
      </w:r>
      <w:r w:rsidRPr="00962520">
        <w:t>‘</w:t>
      </w:r>
      <w:r w:rsidR="00DE24B4" w:rsidRPr="00962520">
        <w:t xml:space="preserve">02 </w:t>
      </w:r>
      <w:r w:rsidRPr="00962520">
        <w:t xml:space="preserve">Section </w:t>
      </w:r>
      <w:r w:rsidR="00DE24B4" w:rsidRPr="00962520">
        <w:t>2466; G. S. 1846; R. S. 1978; 1712 (2) 542] redesignated 27</w:t>
      </w:r>
      <w:r w:rsidRPr="00962520">
        <w:noBreakHyphen/>
      </w:r>
      <w:r w:rsidR="00DE24B4" w:rsidRPr="00962520">
        <w:t>5</w:t>
      </w:r>
      <w:r w:rsidRPr="00962520">
        <w:noBreakHyphen/>
      </w:r>
      <w:r w:rsidR="00DE24B4" w:rsidRPr="00962520">
        <w:t xml:space="preserve">120 by 1986 Act No. 539, </w:t>
      </w:r>
      <w:r w:rsidRPr="00962520">
        <w:t xml:space="preserve">Section </w:t>
      </w:r>
      <w:r w:rsidR="00DE24B4" w:rsidRPr="00962520">
        <w:t>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Wills 497(7).</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409.</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Wills </w:t>
      </w:r>
      <w:r w:rsidR="00962520" w:rsidRPr="00962520">
        <w:t xml:space="preserve">Sections </w:t>
      </w:r>
      <w:r w:rsidRPr="00962520">
        <w:t xml:space="preserve"> 926 to 928, 932.</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Treatises and Practice Aids</w:t>
      </w:r>
    </w:p>
    <w:p w:rsidR="00962520" w:rsidRP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20">
        <w:t xml:space="preserve">Restatement (2d) of Property, Don. Trans. </w:t>
      </w:r>
      <w:r w:rsidR="00962520" w:rsidRPr="00962520">
        <w:t xml:space="preserve">Section </w:t>
      </w:r>
      <w:r w:rsidRPr="00962520">
        <w:t>26.1, Gifts Immediate in Form to a Class</w:t>
      </w:r>
      <w:r w:rsidR="00962520" w:rsidRPr="00962520">
        <w:noBreakHyphen/>
      </w:r>
      <w:r w:rsidRPr="00962520">
        <w:t>When Class Closes to After</w:t>
      </w:r>
      <w:r w:rsidR="00962520" w:rsidRPr="00962520">
        <w:noBreakHyphen/>
      </w:r>
      <w:r w:rsidRPr="00962520">
        <w:t>Conceived and After</w:t>
      </w:r>
      <w:r w:rsidR="00962520" w:rsidRPr="00962520">
        <w:noBreakHyphen/>
      </w:r>
      <w:r w:rsidRPr="00962520">
        <w:t>Adopted Persons.</w:t>
      </w:r>
    </w:p>
    <w:p w:rsidR="00962520" w:rsidRP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rPr>
          <w:b/>
        </w:rPr>
        <w:t xml:space="preserve">SECTION </w:t>
      </w:r>
      <w:r w:rsidR="00DE24B4" w:rsidRPr="00962520">
        <w:rPr>
          <w:b/>
        </w:rPr>
        <w:t>27</w:t>
      </w:r>
      <w:r w:rsidRPr="00962520">
        <w:rPr>
          <w:b/>
        </w:rPr>
        <w:noBreakHyphen/>
      </w:r>
      <w:r w:rsidR="00DE24B4" w:rsidRPr="00962520">
        <w:rPr>
          <w:b/>
        </w:rPr>
        <w:t>5</w:t>
      </w:r>
      <w:r w:rsidRPr="00962520">
        <w:rPr>
          <w:b/>
        </w:rPr>
        <w:noBreakHyphen/>
      </w:r>
      <w:r w:rsidR="00DE24B4" w:rsidRPr="00962520">
        <w:rPr>
          <w:b/>
        </w:rPr>
        <w:t>130.</w:t>
      </w:r>
      <w:r w:rsidR="00DE24B4" w:rsidRPr="00962520">
        <w:t xml:space="preserve"> Deeds of real estate to pass entire estate; conveyance of fee simple absolute; construction of conflicting language.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(A) Every deed of real estate executed after December 31, 1993, passes to the grantee the entire interest of the grantor in the property described in the deed, unless provided to the contrary in the deed.</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(B) Words of inheritance or succession are unnecessary to convey property in fee simple absolute.</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(C) This section modifies the common law and only applies to deeds executed after December 31, 1993.</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20" w:rsidRDefault="00962520"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24B4" w:rsidRPr="00962520">
        <w:t xml:space="preserve">: 1993 Act No. 51, </w:t>
      </w:r>
      <w:r w:rsidRPr="00962520">
        <w:t xml:space="preserve">Section </w:t>
      </w:r>
      <w:r w:rsidR="00DE24B4" w:rsidRPr="00962520">
        <w:t>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Library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Deeds 124(0.5), 124(1).</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Westlaw Topic No. 120.</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C.J.S. Deeds </w:t>
      </w:r>
      <w:r w:rsidR="00962520" w:rsidRPr="00962520">
        <w:t xml:space="preserve">Section </w:t>
      </w:r>
      <w:r w:rsidRPr="00962520">
        <w:t>245.</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RESEARCH REFERENCES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Treatises and Practice Aids</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24.2, Fee Simple Absolute; Absolute Ownership.</w:t>
      </w:r>
    </w:p>
    <w:p w:rsidR="00962520" w:rsidRDefault="00DE24B4"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20">
        <w:t xml:space="preserve">Restatement (3d) Property (Wills &amp; Don. Trans.) </w:t>
      </w:r>
      <w:r w:rsidR="00962520" w:rsidRPr="00962520">
        <w:t xml:space="preserve">Section </w:t>
      </w:r>
      <w:r w:rsidRPr="00962520">
        <w:t>24.2 TD 6, Fee Simple Absolute; Absolute Ownership.</w:t>
      </w:r>
    </w:p>
    <w:p w:rsidR="00A84CDB" w:rsidRPr="00962520" w:rsidRDefault="00A84CDB" w:rsidP="00962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62520" w:rsidSect="009625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520" w:rsidRDefault="00962520" w:rsidP="00962520">
      <w:r>
        <w:separator/>
      </w:r>
    </w:p>
  </w:endnote>
  <w:endnote w:type="continuationSeparator" w:id="0">
    <w:p w:rsidR="00962520" w:rsidRDefault="00962520" w:rsidP="0096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520" w:rsidRDefault="00962520" w:rsidP="00962520">
      <w:r>
        <w:separator/>
      </w:r>
    </w:p>
  </w:footnote>
  <w:footnote w:type="continuationSeparator" w:id="0">
    <w:p w:rsidR="00962520" w:rsidRDefault="00962520" w:rsidP="00962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0" w:rsidRPr="00962520" w:rsidRDefault="00962520" w:rsidP="00962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B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62520"/>
    <w:rsid w:val="00A220E4"/>
    <w:rsid w:val="00A52663"/>
    <w:rsid w:val="00A84CDB"/>
    <w:rsid w:val="00AE09C8"/>
    <w:rsid w:val="00BA240E"/>
    <w:rsid w:val="00BF1A3D"/>
    <w:rsid w:val="00C81307"/>
    <w:rsid w:val="00CE1438"/>
    <w:rsid w:val="00D67A19"/>
    <w:rsid w:val="00DE24B4"/>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57B7-1460-4912-B130-A8FB047D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24B4"/>
    <w:rPr>
      <w:rFonts w:ascii="Courier New" w:eastAsiaTheme="minorEastAsia" w:hAnsi="Courier New" w:cs="Courier New"/>
      <w:sz w:val="20"/>
      <w:szCs w:val="20"/>
    </w:rPr>
  </w:style>
  <w:style w:type="paragraph" w:styleId="Header">
    <w:name w:val="header"/>
    <w:basedOn w:val="Normal"/>
    <w:link w:val="HeaderChar"/>
    <w:uiPriority w:val="99"/>
    <w:unhideWhenUsed/>
    <w:rsid w:val="00962520"/>
    <w:pPr>
      <w:tabs>
        <w:tab w:val="center" w:pos="4680"/>
        <w:tab w:val="right" w:pos="9360"/>
      </w:tabs>
    </w:pPr>
  </w:style>
  <w:style w:type="character" w:customStyle="1" w:styleId="HeaderChar">
    <w:name w:val="Header Char"/>
    <w:basedOn w:val="DefaultParagraphFont"/>
    <w:link w:val="Header"/>
    <w:uiPriority w:val="99"/>
    <w:rsid w:val="00962520"/>
    <w:rPr>
      <w:rFonts w:cs="Times New Roman"/>
    </w:rPr>
  </w:style>
  <w:style w:type="paragraph" w:styleId="Footer">
    <w:name w:val="footer"/>
    <w:basedOn w:val="Normal"/>
    <w:link w:val="FooterChar"/>
    <w:uiPriority w:val="99"/>
    <w:unhideWhenUsed/>
    <w:rsid w:val="00962520"/>
    <w:pPr>
      <w:tabs>
        <w:tab w:val="center" w:pos="4680"/>
        <w:tab w:val="right" w:pos="9360"/>
      </w:tabs>
    </w:pPr>
  </w:style>
  <w:style w:type="character" w:customStyle="1" w:styleId="FooterChar">
    <w:name w:val="Footer Char"/>
    <w:basedOn w:val="DefaultParagraphFont"/>
    <w:link w:val="Footer"/>
    <w:uiPriority w:val="99"/>
    <w:rsid w:val="009625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3472</Words>
  <Characters>19797</Characters>
  <Application>Microsoft Office Word</Application>
  <DocSecurity>0</DocSecurity>
  <Lines>164</Lines>
  <Paragraphs>46</Paragraphs>
  <ScaleCrop>false</ScaleCrop>
  <Company>Legislative Services Agency (LSA)</Company>
  <LinksUpToDate>false</LinksUpToDate>
  <CharactersWithSpaces>23223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