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029F">
        <w:rPr>
          <w:lang w:val="en-PH"/>
        </w:rPr>
        <w:t>CHAPTER 9</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029F">
        <w:rPr>
          <w:lang w:val="en-PH"/>
        </w:rPr>
        <w:t>Improvement to Land by Municipalities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1974 Act No. 1097, from which this Chapter (</w:t>
      </w:r>
      <w:r w:rsidR="00AA029F" w:rsidRPr="00AA029F">
        <w:rPr>
          <w:lang w:val="en-PH"/>
        </w:rPr>
        <w:t xml:space="preserve">Sections </w:t>
      </w:r>
      <w:r w:rsidRPr="00AA029F">
        <w:rPr>
          <w:lang w:val="en-PH"/>
        </w:rPr>
        <w:t xml:space="preserve"> 31</w:t>
      </w:r>
      <w:r w:rsidR="00AA029F" w:rsidRPr="00AA029F">
        <w:rPr>
          <w:lang w:val="en-PH"/>
        </w:rPr>
        <w:noBreakHyphen/>
      </w:r>
      <w:r w:rsidRPr="00AA029F">
        <w:rPr>
          <w:lang w:val="en-PH"/>
        </w:rPr>
        <w:t>9</w:t>
      </w:r>
      <w:r w:rsidR="00AA029F" w:rsidRPr="00AA029F">
        <w:rPr>
          <w:lang w:val="en-PH"/>
        </w:rPr>
        <w:noBreakHyphen/>
      </w:r>
      <w:r w:rsidRPr="00AA029F">
        <w:rPr>
          <w:lang w:val="en-PH"/>
        </w:rPr>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10.</w:t>
      </w:r>
      <w:r w:rsidR="006323D1" w:rsidRPr="00AA029F">
        <w:rPr>
          <w:lang w:val="en-PH"/>
        </w:rPr>
        <w:t xml:space="preserve"> Definitions.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Whenever used in this chapter, unless a different meaning clearly appears from the context, the following terms shall be given the following meanings: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r>
      <w:r w:rsidRPr="00AA029F">
        <w:rPr>
          <w:lang w:val="en-PH"/>
        </w:rPr>
        <w:tab/>
        <w:t>(1) "Bonds" shall include notes, bonds, refunding notes or bonds and other obligations authorized to be issued by this chapter.</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r>
      <w:r w:rsidRPr="00AA029F">
        <w:rPr>
          <w:lang w:val="en-PH"/>
        </w:rPr>
        <w:tab/>
        <w:t>(2) "Governing board" shall mean the governing body of any city.</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r>
      <w:r w:rsidRPr="00AA029F">
        <w:rPr>
          <w:lang w:val="en-PH"/>
        </w:rPr>
        <w:tab/>
        <w:t>(3) "Developer"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r>
      <w:r w:rsidRPr="00AA029F">
        <w:rPr>
          <w:lang w:val="en-PH"/>
        </w:rPr>
        <w:tab/>
        <w:t>(4) "City" shall mean any incorporated municipality of the State.</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r>
      <w:r w:rsidRPr="00AA029F">
        <w:rPr>
          <w:lang w:val="en-PH"/>
        </w:rPr>
        <w:tab/>
        <w:t>(5) "Loan agreement"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r>
      <w:r w:rsidRPr="00AA029F">
        <w:rPr>
          <w:lang w:val="en-PH"/>
        </w:rPr>
        <w:tab/>
        <w:t>(6) "Land"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451;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20.</w:t>
      </w:r>
      <w:r w:rsidR="006323D1" w:rsidRPr="00AA029F">
        <w:rPr>
          <w:lang w:val="en-PH"/>
        </w:rPr>
        <w:t xml:space="preserve"> Powers of cities.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452;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30.</w:t>
      </w:r>
      <w:r w:rsidR="006323D1" w:rsidRPr="00AA029F">
        <w:rPr>
          <w:lang w:val="en-PH"/>
        </w:rPr>
        <w:t xml:space="preserve"> Terms, conditions, execution, sale, and other matters pertaining to bonds.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w:t>
      </w:r>
      <w:r w:rsidRPr="00AA029F">
        <w:rPr>
          <w:lang w:val="en-PH"/>
        </w:rPr>
        <w:lastRenderedPageBreak/>
        <w:t>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 xml:space="preserve">Pending the issuance of bonds, bond anticipation notes may be issued and to the end that a vehicle be provided therefor, the provisions of </w:t>
      </w:r>
      <w:r w:rsidR="00AA029F" w:rsidRPr="00AA029F">
        <w:rPr>
          <w:lang w:val="en-PH"/>
        </w:rPr>
        <w:t xml:space="preserve">Sections </w:t>
      </w:r>
      <w:r w:rsidRPr="00AA029F">
        <w:rPr>
          <w:lang w:val="en-PH"/>
        </w:rPr>
        <w:t xml:space="preserve"> 11</w:t>
      </w:r>
      <w:r w:rsidR="00AA029F" w:rsidRPr="00AA029F">
        <w:rPr>
          <w:lang w:val="en-PH"/>
        </w:rPr>
        <w:noBreakHyphen/>
      </w:r>
      <w:r w:rsidRPr="00AA029F">
        <w:rPr>
          <w:lang w:val="en-PH"/>
        </w:rPr>
        <w:t>17</w:t>
      </w:r>
      <w:r w:rsidR="00AA029F" w:rsidRPr="00AA029F">
        <w:rPr>
          <w:lang w:val="en-PH"/>
        </w:rPr>
        <w:noBreakHyphen/>
      </w:r>
      <w:r w:rsidRPr="00AA029F">
        <w:rPr>
          <w:lang w:val="en-PH"/>
        </w:rPr>
        <w:t>10 to 11</w:t>
      </w:r>
      <w:r w:rsidR="00AA029F" w:rsidRPr="00AA029F">
        <w:rPr>
          <w:lang w:val="en-PH"/>
        </w:rPr>
        <w:noBreakHyphen/>
      </w:r>
      <w:r w:rsidRPr="00AA029F">
        <w:rPr>
          <w:lang w:val="en-PH"/>
        </w:rPr>
        <w:t>17</w:t>
      </w:r>
      <w:r w:rsidR="00AA029F" w:rsidRPr="00AA029F">
        <w:rPr>
          <w:lang w:val="en-PH"/>
        </w:rPr>
        <w:noBreakHyphen/>
      </w:r>
      <w:r w:rsidRPr="00AA029F">
        <w:rPr>
          <w:lang w:val="en-PH"/>
        </w:rPr>
        <w:t>110 as now or hereafter amended shall be applicable to such bond anticipatory borrowing.</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453;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40.</w:t>
      </w:r>
      <w:r w:rsidR="006323D1" w:rsidRPr="00AA029F">
        <w:rPr>
          <w:lang w:val="en-PH"/>
        </w:rPr>
        <w:t xml:space="preserve"> Security for payment of bonds.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 xml:space="preserve">The trustees under any trust indenture or any depository specified by such trust indenture may be such persons or corporations as the governing board shall designate, notwithstanding that they may be </w:t>
      </w:r>
      <w:r w:rsidRPr="00AA029F">
        <w:rPr>
          <w:lang w:val="en-PH"/>
        </w:rPr>
        <w:lastRenderedPageBreak/>
        <w:t>nonresidents of South Carolina, or incorporated under the laws of the United States or the laws of other states of the United States.</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454;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50.</w:t>
      </w:r>
      <w:r w:rsidR="006323D1" w:rsidRPr="00AA029F">
        <w:rPr>
          <w:lang w:val="en-PH"/>
        </w:rPr>
        <w:t xml:space="preserve"> Loan agreements; obligations of developer; issuance of additional parity bonds.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455;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60.</w:t>
      </w:r>
      <w:r w:rsidR="006323D1" w:rsidRPr="00AA029F">
        <w:rPr>
          <w:lang w:val="en-PH"/>
        </w:rPr>
        <w:t xml:space="preserve"> Loan agreements; leases between city and developer.</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w:t>
      </w:r>
      <w:r w:rsidRPr="00AA029F">
        <w:rPr>
          <w:lang w:val="en-PH"/>
        </w:rPr>
        <w:lastRenderedPageBreak/>
        <w:t>right to receive rental payments to the lien of any mortgages upon the land or the buildings or other facilities or improvements constructed or to be constructed thereon.</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456;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70.</w:t>
      </w:r>
      <w:r w:rsidR="006323D1" w:rsidRPr="00AA029F">
        <w:rPr>
          <w:lang w:val="en-PH"/>
        </w:rPr>
        <w:t xml:space="preserve"> Proceeds from sale of bonds.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457;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80.</w:t>
      </w:r>
      <w:r w:rsidR="006323D1" w:rsidRPr="00AA029F">
        <w:rPr>
          <w:lang w:val="en-PH"/>
        </w:rPr>
        <w:t xml:space="preserve"> Bonds as lawful investments.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It shall be lawful for all executors, administrators, guardians, committees and other fiduciaries to invest any moneys in their hands in bonds.</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458;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90.</w:t>
      </w:r>
      <w:r w:rsidR="006323D1" w:rsidRPr="00AA029F">
        <w:rPr>
          <w:lang w:val="en-PH"/>
        </w:rPr>
        <w:t xml:space="preserve"> Bonds, trust indentures, mortgages, and loan agreements shall be exempt from taxation; exceptions.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460;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100.</w:t>
      </w:r>
      <w:r w:rsidR="006323D1" w:rsidRPr="00AA029F">
        <w:rPr>
          <w:lang w:val="en-PH"/>
        </w:rPr>
        <w:t xml:space="preserve"> Publication of notice of bond issues; challenging validity of proceedings.</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461;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P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029F">
        <w:rPr>
          <w:lang w:val="en-PH"/>
        </w:rPr>
        <w:t>See Editor's Note following chapter heading.</w:t>
      </w:r>
    </w:p>
    <w:p w:rsidR="00AA029F" w:rsidRP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b/>
          <w:lang w:val="en-PH"/>
        </w:rPr>
        <w:t xml:space="preserve">SECTION </w:t>
      </w:r>
      <w:r w:rsidR="006323D1" w:rsidRPr="00AA029F">
        <w:rPr>
          <w:b/>
          <w:lang w:val="en-PH"/>
        </w:rPr>
        <w:t>31</w:t>
      </w:r>
      <w:r w:rsidRPr="00AA029F">
        <w:rPr>
          <w:b/>
          <w:lang w:val="en-PH"/>
        </w:rPr>
        <w:noBreakHyphen/>
      </w:r>
      <w:r w:rsidR="006323D1" w:rsidRPr="00AA029F">
        <w:rPr>
          <w:b/>
          <w:lang w:val="en-PH"/>
        </w:rPr>
        <w:t>9</w:t>
      </w:r>
      <w:r w:rsidRPr="00AA029F">
        <w:rPr>
          <w:b/>
          <w:lang w:val="en-PH"/>
        </w:rPr>
        <w:noBreakHyphen/>
      </w:r>
      <w:r w:rsidR="006323D1" w:rsidRPr="00AA029F">
        <w:rPr>
          <w:b/>
          <w:lang w:val="en-PH"/>
        </w:rPr>
        <w:t>110.</w:t>
      </w:r>
      <w:r w:rsidR="006323D1" w:rsidRPr="00AA029F">
        <w:rPr>
          <w:lang w:val="en-PH"/>
        </w:rPr>
        <w:t xml:space="preserve"> Provisions in this chapter construed as cumulative.</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29F" w:rsidRDefault="00AA029F"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23D1" w:rsidRPr="00AA029F">
        <w:rPr>
          <w:lang w:val="en-PH"/>
        </w:rPr>
        <w:t xml:space="preserve">: 1962 Code </w:t>
      </w:r>
      <w:r w:rsidRPr="00AA029F">
        <w:rPr>
          <w:lang w:val="en-PH"/>
        </w:rPr>
        <w:t xml:space="preserve">Section </w:t>
      </w:r>
      <w:r w:rsidR="006323D1" w:rsidRPr="00AA029F">
        <w:rPr>
          <w:lang w:val="en-PH"/>
        </w:rPr>
        <w:t>36</w:t>
      </w:r>
      <w:r w:rsidRPr="00AA029F">
        <w:rPr>
          <w:lang w:val="en-PH"/>
        </w:rPr>
        <w:noBreakHyphen/>
      </w:r>
      <w:r w:rsidR="006323D1" w:rsidRPr="00AA029F">
        <w:rPr>
          <w:lang w:val="en-PH"/>
        </w:rPr>
        <w:t>460; 1974 (58) 2337.</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Editor's Note</w:t>
      </w:r>
    </w:p>
    <w:p w:rsidR="00AA029F" w:rsidRDefault="006323D1"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29F">
        <w:rPr>
          <w:lang w:val="en-PH"/>
        </w:rPr>
        <w:t>See Editor's Note following chapter heading.</w:t>
      </w:r>
    </w:p>
    <w:p w:rsidR="00F25049" w:rsidRPr="00AA029F" w:rsidRDefault="00F25049" w:rsidP="00AA0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029F" w:rsidSect="00AA02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9F" w:rsidRDefault="00AA029F" w:rsidP="00AA029F">
      <w:r>
        <w:separator/>
      </w:r>
    </w:p>
  </w:endnote>
  <w:endnote w:type="continuationSeparator" w:id="0">
    <w:p w:rsidR="00AA029F" w:rsidRDefault="00AA029F" w:rsidP="00AA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F" w:rsidRPr="00AA029F" w:rsidRDefault="00AA029F" w:rsidP="00AA0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F" w:rsidRPr="00AA029F" w:rsidRDefault="00AA029F" w:rsidP="00AA0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F" w:rsidRPr="00AA029F" w:rsidRDefault="00AA029F" w:rsidP="00AA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9F" w:rsidRDefault="00AA029F" w:rsidP="00AA029F">
      <w:r>
        <w:separator/>
      </w:r>
    </w:p>
  </w:footnote>
  <w:footnote w:type="continuationSeparator" w:id="0">
    <w:p w:rsidR="00AA029F" w:rsidRDefault="00AA029F" w:rsidP="00AA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F" w:rsidRPr="00AA029F" w:rsidRDefault="00AA029F" w:rsidP="00AA0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F" w:rsidRPr="00AA029F" w:rsidRDefault="00AA029F" w:rsidP="00AA0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9F" w:rsidRPr="00AA029F" w:rsidRDefault="00AA029F" w:rsidP="00AA0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D1"/>
    <w:rsid w:val="006323D1"/>
    <w:rsid w:val="00AA02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B7BB8-7F85-4610-B4AC-6E637C29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23D1"/>
    <w:rPr>
      <w:rFonts w:ascii="Courier New" w:eastAsiaTheme="minorEastAsia" w:hAnsi="Courier New" w:cs="Courier New"/>
      <w:sz w:val="20"/>
      <w:szCs w:val="20"/>
    </w:rPr>
  </w:style>
  <w:style w:type="paragraph" w:styleId="Header">
    <w:name w:val="header"/>
    <w:basedOn w:val="Normal"/>
    <w:link w:val="HeaderChar"/>
    <w:uiPriority w:val="99"/>
    <w:unhideWhenUsed/>
    <w:rsid w:val="00AA029F"/>
    <w:pPr>
      <w:tabs>
        <w:tab w:val="center" w:pos="4680"/>
        <w:tab w:val="right" w:pos="9360"/>
      </w:tabs>
    </w:pPr>
  </w:style>
  <w:style w:type="character" w:customStyle="1" w:styleId="HeaderChar">
    <w:name w:val="Header Char"/>
    <w:basedOn w:val="DefaultParagraphFont"/>
    <w:link w:val="Header"/>
    <w:uiPriority w:val="99"/>
    <w:rsid w:val="00AA029F"/>
  </w:style>
  <w:style w:type="paragraph" w:styleId="Footer">
    <w:name w:val="footer"/>
    <w:basedOn w:val="Normal"/>
    <w:link w:val="FooterChar"/>
    <w:uiPriority w:val="99"/>
    <w:unhideWhenUsed/>
    <w:rsid w:val="00AA029F"/>
    <w:pPr>
      <w:tabs>
        <w:tab w:val="center" w:pos="4680"/>
        <w:tab w:val="right" w:pos="9360"/>
      </w:tabs>
    </w:pPr>
  </w:style>
  <w:style w:type="character" w:customStyle="1" w:styleId="FooterChar">
    <w:name w:val="Footer Char"/>
    <w:basedOn w:val="DefaultParagraphFont"/>
    <w:link w:val="Footer"/>
    <w:uiPriority w:val="99"/>
    <w:rsid w:val="00AA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12189</Characters>
  <Application>Microsoft Office Word</Application>
  <DocSecurity>0</DocSecurity>
  <Lines>101</Lines>
  <Paragraphs>28</Paragraphs>
  <ScaleCrop>false</ScaleCrop>
  <Company>Legislative Services Agency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