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681">
        <w:rPr>
          <w:lang w:val="en-PH"/>
        </w:rPr>
        <w:t>CHAPTER 136</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681">
        <w:rPr>
          <w:lang w:val="en-PH"/>
        </w:rPr>
        <w:t>Coastal Carolina University</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31DE" w:rsidRPr="00A01681">
        <w:rPr>
          <w:lang w:val="en-PH"/>
        </w:rPr>
        <w:t xml:space="preserve"> 1</w:t>
      </w:r>
    </w:p>
    <w:p w:rsidR="00A01681" w:rsidRP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1681">
        <w:rPr>
          <w:lang w:val="en-PH"/>
        </w:rPr>
        <w:t>General Provisions</w:t>
      </w:r>
      <w:bookmarkStart w:id="0" w:name="_GoBack"/>
      <w:bookmarkEnd w:id="0"/>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100.</w:t>
      </w:r>
      <w:r w:rsidR="002131DE" w:rsidRPr="00A01681">
        <w:rPr>
          <w:lang w:val="en-PH"/>
        </w:rPr>
        <w:t xml:space="preserve"> Establishment.</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Coastal Carolina College, a four</w:t>
      </w:r>
      <w:r w:rsidR="00A01681" w:rsidRPr="00A01681">
        <w:rPr>
          <w:lang w:val="en-PH"/>
        </w:rPr>
        <w:noBreakHyphen/>
      </w:r>
      <w:r w:rsidRPr="00A01681">
        <w:rPr>
          <w:lang w:val="en-PH"/>
        </w:rPr>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110.</w:t>
      </w:r>
      <w:r w:rsidR="002131DE" w:rsidRPr="00A01681">
        <w:rPr>
          <w:lang w:val="en-PH"/>
        </w:rPr>
        <w:t xml:space="preserve"> Board of trustees.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Of the fifteen members to be elected by the General Assembly, one member must be elected from each congressional district and the remaining eight members must be elected from the State at large.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term of office of the at</w:t>
      </w:r>
      <w:r w:rsidR="00A01681" w:rsidRPr="00A01681">
        <w:rPr>
          <w:lang w:val="en-PH"/>
        </w:rPr>
        <w:noBreakHyphen/>
      </w:r>
      <w:r w:rsidRPr="00A01681">
        <w:rPr>
          <w:lang w:val="en-PH"/>
        </w:rPr>
        <w:t>large trustee appointed by the Governor is effective upon certification to the Secretary of State and is coterminous with the term of the Governor appointing him.</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General Assembly shall elect those members of the board of trustees it elects during its 1993 Session. Members initially elected from Seats One, Three, Five, Seven, Nine, Eleven, Thirteen, and Fifteen shall be elected for two</w:t>
      </w:r>
      <w:r w:rsidR="00A01681" w:rsidRPr="00A01681">
        <w:rPr>
          <w:lang w:val="en-PH"/>
        </w:rPr>
        <w:noBreakHyphen/>
      </w:r>
      <w:r w:rsidRPr="00A01681">
        <w:rPr>
          <w:lang w:val="en-PH"/>
        </w:rPr>
        <w:t>year terms and members initially elected from Seats Two, Four, Six, Eight, Ten, Twelve, and Fourteen shall be elected for four</w:t>
      </w:r>
      <w:r w:rsidR="00A01681" w:rsidRPr="00A01681">
        <w:rPr>
          <w:lang w:val="en-PH"/>
        </w:rPr>
        <w:noBreakHyphen/>
      </w:r>
      <w:r w:rsidRPr="00A01681">
        <w:rPr>
          <w:lang w:val="en-PH"/>
        </w:rPr>
        <w:t>year terms. Thereafter, their successors shall each be elected for four</w:t>
      </w:r>
      <w:r w:rsidR="00A01681" w:rsidRPr="00A01681">
        <w:rPr>
          <w:lang w:val="en-PH"/>
        </w:rPr>
        <w:noBreakHyphen/>
      </w:r>
      <w:r w:rsidRPr="00A01681">
        <w:rPr>
          <w:lang w:val="en-PH"/>
        </w:rPr>
        <w:t>year terms.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A01681">
        <w:rPr>
          <w:lang w:val="en-PH"/>
        </w:rPr>
        <w:lastRenderedPageBreak/>
        <w:t>must be filled for the remainder of the unexpired term by appointment in the same manner of the original appointment.</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 xml:space="preserve">1; 2012 Act No. 176, </w:t>
      </w:r>
      <w:r w:rsidRPr="00A01681">
        <w:rPr>
          <w:lang w:val="en-PH"/>
        </w:rPr>
        <w:t xml:space="preserve">Section </w:t>
      </w:r>
      <w:r w:rsidR="002131DE" w:rsidRPr="00A01681">
        <w:rPr>
          <w:lang w:val="en-PH"/>
        </w:rPr>
        <w:t>15, eff May 25, 2012.</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Effect of Amendment</w:t>
      </w:r>
    </w:p>
    <w:p w:rsidR="00A01681" w:rsidRP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681">
        <w:rPr>
          <w:lang w:val="en-PH"/>
        </w:rPr>
        <w:t>The 2012 amendment rewrote the section.</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120.</w:t>
      </w:r>
      <w:r w:rsidR="002131DE" w:rsidRPr="00A01681">
        <w:rPr>
          <w:lang w:val="en-PH"/>
        </w:rPr>
        <w:t xml:space="preserve"> Trustees; subsistence, per diem, and mileage.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Members of the board are entitled to subsistence, per diem, and mileage authorized for members of state boards, committees, and commissions.</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130.</w:t>
      </w:r>
      <w:r w:rsidR="002131DE" w:rsidRPr="00A01681">
        <w:rPr>
          <w:lang w:val="en-PH"/>
        </w:rPr>
        <w:t xml:space="preserve"> Board a body corporate and politic; powers of board.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board of trustees is constituted a body corporate and politic under the name of the board of trustees for Coastal Carolina University. The corporation has the power to:</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 have perpetual succession;</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(2) sue and be sued by the corporate name;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(3) have a seal and to alter it at pleasure;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(6) make bylaws and regulations for the management of its affairs and its own operations not inconsistent with law;</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(7) condemn land for corporate purposes as provided by law;</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(8) fix tuition fees and other charges for students attending the university, not inconsistent with law;</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(9) confer degrees upon students and other persons as the board considers qualified;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(11) assign any member of the faculty without additional salary to additional duties in any other university department than that in which the faculty member may at the time be working;</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(12) compel by subpoena, rule, and attachment witnesses to appear and testify and papers to be produced and read before the board in all investigations relating to the affairs of the university;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(13) adopt measures and make regulations as the board considers necessary for the proper operation of the university;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(14) appoint for the university a board of visitors of a number as it may determine, to regulate the terms during which the members of the board of visitors serve, and to prescribe their functions;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(15) remove any officer, faculty member, agent, or employee for incompetence, neglect of duty, violation of university regulations, or conduct unbecoming a person occupying such a position;</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lastRenderedPageBreak/>
        <w:tab/>
      </w:r>
      <w:r w:rsidRPr="00A01681">
        <w:rPr>
          <w:lang w:val="en-PH"/>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(17) appoint committees of the board or officers or members of the faculty of the university with authority and for purposes in connection with the operation of the university as the board considers necessary;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(18) appoint a president. The president shall report to and seek approval of his actions and those of his subordinates from the board;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(19) issue revenue bonds as provided by law.</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140.</w:t>
      </w:r>
      <w:r w:rsidR="002131DE" w:rsidRPr="00A01681">
        <w:rPr>
          <w:lang w:val="en-PH"/>
        </w:rPr>
        <w:t xml:space="preserve"> Meetings of board.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Notice of the time and place of all meetings of the board must be mailed by the secretary or his assistant to each trustee not less than five days before each meeting.</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150.</w:t>
      </w:r>
      <w:r w:rsidR="002131DE" w:rsidRPr="00A01681">
        <w:rPr>
          <w:lang w:val="en-PH"/>
        </w:rPr>
        <w:t xml:space="preserve"> Lease or sale of real property donated to university; proceeds.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31DE" w:rsidRPr="00A01681">
        <w:rPr>
          <w:lang w:val="en-PH"/>
        </w:rPr>
        <w:t xml:space="preserve"> 3</w:t>
      </w:r>
    </w:p>
    <w:p w:rsidR="00A01681" w:rsidRP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1681">
        <w:rPr>
          <w:lang w:val="en-PH"/>
        </w:rPr>
        <w:t>Revenue Bonds</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300.</w:t>
      </w:r>
      <w:r w:rsidR="002131DE" w:rsidRPr="00A01681">
        <w:rPr>
          <w:lang w:val="en-PH"/>
        </w:rPr>
        <w:t xml:space="preserve"> Equipment defined.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For purposes of this article "equipment" means items with a useful life of at least fifteen years.</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310.</w:t>
      </w:r>
      <w:r w:rsidR="002131DE" w:rsidRPr="00A01681">
        <w:rPr>
          <w:lang w:val="en-PH"/>
        </w:rPr>
        <w:t xml:space="preserve"> Authority to issue revenue bonds.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lastRenderedPageBreak/>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320.</w:t>
      </w:r>
      <w:r w:rsidR="002131DE" w:rsidRPr="00A01681">
        <w:rPr>
          <w:lang w:val="en-PH"/>
        </w:rPr>
        <w:t xml:space="preserve"> Authorizing resolution; resolution to be part of contract; contents of resolution.</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 the custody, security, use, expenditure, or application of the proceeds of the bonds;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(2) the construction and completion of the building or equipment for which the bonds are issued;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(4) the payment of the principal of or interest on the bonds and the sources and methods of the payment, the rank or priority of the bonds as to any lien or security or the acceleration of the maturity of the bonds;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(5) the use and disposition of the revenues derived or to be derived from the operation of the building or equipment;</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(7) the setting aside out of the revenues of reserves or sinking funds and the source, custody, security, regulation, and disposition of them;</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(8) the determination of the definition of the revenues or of the expenses of operation and maintenance of the building or equipment for which the bonds are issued;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(10) limitations on the issuance of additional bonds or any other obligations or the incurrence of indebtedness payable from the same revenues from which the bonds are payable;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(11) parietal rules to ensure the use of the building or equipment by students or members of the faculty of the university to the maximum extent to which the building or equipment is capable of serving the students or faculty members;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r>
      <w:r w:rsidRPr="00A01681">
        <w:rPr>
          <w:lang w:val="en-PH"/>
        </w:rPr>
        <w:tab/>
        <w:t>(13) any other matter or course of conduct which, by recital in the resolution or resolutions authorizing or providing for the bonds, is declared to further secure the payment of the principal of or interest on the bonds.</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330.</w:t>
      </w:r>
      <w:r w:rsidR="002131DE" w:rsidRPr="00A01681">
        <w:rPr>
          <w:lang w:val="en-PH"/>
        </w:rPr>
        <w:t xml:space="preserve"> Particulars of bonds; must be negotiable.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340.</w:t>
      </w:r>
      <w:r w:rsidR="002131DE" w:rsidRPr="00A01681">
        <w:rPr>
          <w:lang w:val="en-PH"/>
        </w:rPr>
        <w:t xml:space="preserve"> Tax exempt status.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bonds must be exempt from state, county, municipal, and school taxes.</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350.</w:t>
      </w:r>
      <w:r w:rsidR="002131DE" w:rsidRPr="00A01681">
        <w:rPr>
          <w:lang w:val="en-PH"/>
        </w:rPr>
        <w:t xml:space="preserve"> Signature on bonds and coupons.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360.</w:t>
      </w:r>
      <w:r w:rsidR="002131DE" w:rsidRPr="00A01681">
        <w:rPr>
          <w:lang w:val="en-PH"/>
        </w:rPr>
        <w:t xml:space="preserve"> Sale of bonds.</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bonds must be sold at public or private sale upon such terms and conditions as the board of trustees of the university considers advisable.</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370.</w:t>
      </w:r>
      <w:r w:rsidR="002131DE" w:rsidRPr="00A01681">
        <w:rPr>
          <w:lang w:val="en-PH"/>
        </w:rPr>
        <w:t xml:space="preserve"> Filing with State Treasurer description of all obligations entered into by board.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380.</w:t>
      </w:r>
      <w:r w:rsidR="002131DE" w:rsidRPr="00A01681">
        <w:rPr>
          <w:lang w:val="en-PH"/>
        </w:rPr>
        <w:t xml:space="preserve"> Authorizing resolution constitutes binding contract; enforcement.</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All provisions of a resolution authorizing or providing for the issuance of the bonds in accordance with Section 59</w:t>
      </w:r>
      <w:r w:rsidR="00A01681" w:rsidRPr="00A01681">
        <w:rPr>
          <w:lang w:val="en-PH"/>
        </w:rPr>
        <w:noBreakHyphen/>
      </w:r>
      <w:r w:rsidRPr="00A01681">
        <w:rPr>
          <w:lang w:val="en-PH"/>
        </w:rPr>
        <w:t>136</w:t>
      </w:r>
      <w:r w:rsidR="00A01681" w:rsidRPr="00A01681">
        <w:rPr>
          <w:lang w:val="en-PH"/>
        </w:rPr>
        <w:noBreakHyphen/>
      </w:r>
      <w:r w:rsidRPr="00A01681">
        <w:rPr>
          <w:lang w:val="en-PH"/>
        </w:rPr>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390.</w:t>
      </w:r>
      <w:r w:rsidR="002131DE" w:rsidRPr="00A01681">
        <w:rPr>
          <w:lang w:val="en-PH"/>
        </w:rPr>
        <w:t xml:space="preserve"> Sources of payments of bonds; bonds not obligations of state.</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31DE" w:rsidRPr="00A01681">
        <w:rPr>
          <w:lang w:val="en-PH"/>
        </w:rPr>
        <w:t xml:space="preserve"> 5</w:t>
      </w:r>
    </w:p>
    <w:p w:rsidR="00A01681" w:rsidRP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1681">
        <w:rPr>
          <w:lang w:val="en-PH"/>
        </w:rPr>
        <w:t>Transitional Provisions</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500.</w:t>
      </w:r>
      <w:r w:rsidR="002131DE" w:rsidRPr="00A01681">
        <w:rPr>
          <w:lang w:val="en-PH"/>
        </w:rPr>
        <w:t xml:space="preserve"> Transfer of employees, appropriations, assets, and liabilities of Coastal Carolina College to Coastal Carolina University.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505.</w:t>
      </w:r>
      <w:r w:rsidR="002131DE" w:rsidRPr="00A01681">
        <w:rPr>
          <w:lang w:val="en-PH"/>
        </w:rPr>
        <w:t xml:space="preserve"> Issuance of state institution bonds and revenue bonds to refund and defease previous bonds; application of fees and revenues to satisfy obligations; purposes for which bonds may be issued.</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(D) For purposes of Section 59</w:t>
      </w:r>
      <w:r w:rsidR="00A01681" w:rsidRPr="00A01681">
        <w:rPr>
          <w:lang w:val="en-PH"/>
        </w:rPr>
        <w:noBreakHyphen/>
      </w:r>
      <w:r w:rsidRPr="00A01681">
        <w:rPr>
          <w:lang w:val="en-PH"/>
        </w:rPr>
        <w:t>107</w:t>
      </w:r>
      <w:r w:rsidR="00A01681" w:rsidRPr="00A01681">
        <w:rPr>
          <w:lang w:val="en-PH"/>
        </w:rPr>
        <w:noBreakHyphen/>
      </w:r>
      <w:r w:rsidRPr="00A01681">
        <w:rPr>
          <w:lang w:val="en-PH"/>
        </w:rPr>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510.</w:t>
      </w:r>
      <w:r w:rsidR="002131DE" w:rsidRPr="00A01681">
        <w:rPr>
          <w:lang w:val="en-PH"/>
        </w:rPr>
        <w:t xml:space="preserve"> "Coastal Carolina College" to mean "Coastal Carolina University".</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Wherever the term "Coastal Carolina College" or any similar variation appears in any provision of law, it shall be construed to mean "Coastal Carolina University".</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A01681" w:rsidRP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b/>
          <w:lang w:val="en-PH"/>
        </w:rPr>
        <w:t xml:space="preserve">SECTION </w:t>
      </w:r>
      <w:r w:rsidR="002131DE" w:rsidRPr="00A01681">
        <w:rPr>
          <w:b/>
          <w:lang w:val="en-PH"/>
        </w:rPr>
        <w:t>59</w:t>
      </w:r>
      <w:r w:rsidRPr="00A01681">
        <w:rPr>
          <w:b/>
          <w:lang w:val="en-PH"/>
        </w:rPr>
        <w:noBreakHyphen/>
      </w:r>
      <w:r w:rsidR="002131DE" w:rsidRPr="00A01681">
        <w:rPr>
          <w:b/>
          <w:lang w:val="en-PH"/>
        </w:rPr>
        <w:t>136</w:t>
      </w:r>
      <w:r w:rsidRPr="00A01681">
        <w:rPr>
          <w:b/>
          <w:lang w:val="en-PH"/>
        </w:rPr>
        <w:noBreakHyphen/>
      </w:r>
      <w:r w:rsidR="002131DE" w:rsidRPr="00A01681">
        <w:rPr>
          <w:b/>
          <w:lang w:val="en-PH"/>
        </w:rPr>
        <w:t>520.</w:t>
      </w:r>
      <w:r w:rsidR="002131DE" w:rsidRPr="00A01681">
        <w:rPr>
          <w:lang w:val="en-PH"/>
        </w:rPr>
        <w:t xml:space="preserve"> Budget and Control Board to prescribe manner of transfer.</w:t>
      </w:r>
    </w:p>
    <w:p w:rsidR="00A01681" w:rsidRDefault="002131DE"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681">
        <w:rPr>
          <w:lang w:val="en-PH"/>
        </w:rPr>
        <w:tab/>
        <w:t>The Budget and Control Board, in consultation with the Commission on Higher Education where necessary, shall prescribe the manner in which the transfer provided in this chapter shall be accomplished.</w:t>
      </w: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681" w:rsidRDefault="00A01681"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31DE" w:rsidRPr="00A01681">
        <w:rPr>
          <w:lang w:val="en-PH"/>
        </w:rPr>
        <w:t xml:space="preserve">: 1993 Act No. 69, </w:t>
      </w:r>
      <w:r w:rsidRPr="00A01681">
        <w:rPr>
          <w:lang w:val="en-PH"/>
        </w:rPr>
        <w:t xml:space="preserve">Section </w:t>
      </w:r>
      <w:r w:rsidR="002131DE" w:rsidRPr="00A01681">
        <w:rPr>
          <w:lang w:val="en-PH"/>
        </w:rPr>
        <w:t>1.</w:t>
      </w:r>
    </w:p>
    <w:p w:rsidR="00F25049" w:rsidRPr="00A01681" w:rsidRDefault="00F25049" w:rsidP="00A0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1681" w:rsidSect="00A016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81" w:rsidRDefault="00A01681" w:rsidP="00A01681">
      <w:r>
        <w:separator/>
      </w:r>
    </w:p>
  </w:endnote>
  <w:endnote w:type="continuationSeparator" w:id="0">
    <w:p w:rsidR="00A01681" w:rsidRDefault="00A01681" w:rsidP="00A0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81" w:rsidRPr="00A01681" w:rsidRDefault="00A01681" w:rsidP="00A0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81" w:rsidRPr="00A01681" w:rsidRDefault="00A01681" w:rsidP="00A01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81" w:rsidRPr="00A01681" w:rsidRDefault="00A01681" w:rsidP="00A0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81" w:rsidRDefault="00A01681" w:rsidP="00A01681">
      <w:r>
        <w:separator/>
      </w:r>
    </w:p>
  </w:footnote>
  <w:footnote w:type="continuationSeparator" w:id="0">
    <w:p w:rsidR="00A01681" w:rsidRDefault="00A01681" w:rsidP="00A0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81" w:rsidRPr="00A01681" w:rsidRDefault="00A01681" w:rsidP="00A0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81" w:rsidRPr="00A01681" w:rsidRDefault="00A01681" w:rsidP="00A01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681" w:rsidRPr="00A01681" w:rsidRDefault="00A01681" w:rsidP="00A01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DE"/>
    <w:rsid w:val="002131DE"/>
    <w:rsid w:val="00A016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C6769-04F4-444D-ADA7-BA9FE3F3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3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31DE"/>
    <w:rPr>
      <w:rFonts w:ascii="Courier New" w:eastAsiaTheme="minorEastAsia" w:hAnsi="Courier New" w:cs="Courier New"/>
      <w:sz w:val="20"/>
      <w:szCs w:val="20"/>
    </w:rPr>
  </w:style>
  <w:style w:type="paragraph" w:styleId="Header">
    <w:name w:val="header"/>
    <w:basedOn w:val="Normal"/>
    <w:link w:val="HeaderChar"/>
    <w:uiPriority w:val="99"/>
    <w:unhideWhenUsed/>
    <w:rsid w:val="00A01681"/>
    <w:pPr>
      <w:tabs>
        <w:tab w:val="center" w:pos="4680"/>
        <w:tab w:val="right" w:pos="9360"/>
      </w:tabs>
    </w:pPr>
  </w:style>
  <w:style w:type="character" w:customStyle="1" w:styleId="HeaderChar">
    <w:name w:val="Header Char"/>
    <w:basedOn w:val="DefaultParagraphFont"/>
    <w:link w:val="Header"/>
    <w:uiPriority w:val="99"/>
    <w:rsid w:val="00A01681"/>
  </w:style>
  <w:style w:type="paragraph" w:styleId="Footer">
    <w:name w:val="footer"/>
    <w:basedOn w:val="Normal"/>
    <w:link w:val="FooterChar"/>
    <w:uiPriority w:val="99"/>
    <w:unhideWhenUsed/>
    <w:rsid w:val="00A01681"/>
    <w:pPr>
      <w:tabs>
        <w:tab w:val="center" w:pos="4680"/>
        <w:tab w:val="right" w:pos="9360"/>
      </w:tabs>
    </w:pPr>
  </w:style>
  <w:style w:type="character" w:customStyle="1" w:styleId="FooterChar">
    <w:name w:val="Footer Char"/>
    <w:basedOn w:val="DefaultParagraphFont"/>
    <w:link w:val="Footer"/>
    <w:uiPriority w:val="99"/>
    <w:rsid w:val="00A0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3321</Words>
  <Characters>18934</Characters>
  <Application>Microsoft Office Word</Application>
  <DocSecurity>0</DocSecurity>
  <Lines>157</Lines>
  <Paragraphs>44</Paragraphs>
  <ScaleCrop>false</ScaleCrop>
  <Company>Legislative Services Agency</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