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668F">
        <w:rPr>
          <w:lang w:val="en-PH"/>
        </w:rPr>
        <w:t>CHAPTER 1</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668F">
        <w:rPr>
          <w:lang w:val="en-PH"/>
        </w:rPr>
        <w:t>State Policy and General Provisions</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DERIVATION TABLE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Showing the sections in former Chapter 7, Title 20 from which the sections in this chapter were derived.</w:t>
      </w:r>
    </w:p>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2357F5" w:rsidRPr="00B9668F"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357F5" w:rsidRPr="00B9668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668F"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68F">
              <w:rPr>
                <w:rFonts w:eastAsia="Times New Roman"/>
                <w:szCs w:val="20"/>
              </w:rPr>
              <w:t>New</w:t>
            </w:r>
          </w:p>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68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668F"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68F">
              <w:rPr>
                <w:rFonts w:eastAsia="Times New Roman"/>
                <w:szCs w:val="20"/>
              </w:rPr>
              <w:t>Former</w:t>
            </w:r>
          </w:p>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68F">
              <w:rPr>
                <w:rFonts w:eastAsia="Times New Roman"/>
                <w:szCs w:val="20"/>
              </w:rPr>
              <w:t>Section</w:t>
            </w:r>
          </w:p>
        </w:tc>
      </w:tr>
      <w:tr w:rsidR="002357F5" w:rsidRPr="00B9668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68F">
              <w:rPr>
                <w:rFonts w:eastAsia="Times New Roman"/>
                <w:szCs w:val="20"/>
              </w:rPr>
              <w:t>63</w:t>
            </w:r>
            <w:r w:rsidR="00B9668F" w:rsidRPr="00B9668F">
              <w:rPr>
                <w:rFonts w:eastAsia="Times New Roman"/>
                <w:szCs w:val="20"/>
              </w:rPr>
              <w:noBreakHyphen/>
            </w:r>
            <w:r w:rsidRPr="00B9668F">
              <w:rPr>
                <w:rFonts w:eastAsia="Times New Roman"/>
                <w:szCs w:val="20"/>
              </w:rPr>
              <w:t>1</w:t>
            </w:r>
            <w:r w:rsidR="00B9668F" w:rsidRPr="00B9668F">
              <w:rPr>
                <w:rFonts w:eastAsia="Times New Roman"/>
                <w:szCs w:val="20"/>
              </w:rPr>
              <w:noBreakHyphen/>
            </w:r>
            <w:r w:rsidRPr="00B9668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68F">
              <w:rPr>
                <w:rFonts w:eastAsia="Times New Roman"/>
                <w:szCs w:val="20"/>
              </w:rPr>
              <w:t>20</w:t>
            </w:r>
            <w:r w:rsidR="00B9668F" w:rsidRPr="00B9668F">
              <w:rPr>
                <w:rFonts w:eastAsia="Times New Roman"/>
                <w:szCs w:val="20"/>
              </w:rPr>
              <w:noBreakHyphen/>
            </w:r>
            <w:r w:rsidRPr="00B9668F">
              <w:rPr>
                <w:rFonts w:eastAsia="Times New Roman"/>
                <w:szCs w:val="20"/>
              </w:rPr>
              <w:t>7</w:t>
            </w:r>
            <w:r w:rsidR="00B9668F" w:rsidRPr="00B9668F">
              <w:rPr>
                <w:rFonts w:eastAsia="Times New Roman"/>
                <w:szCs w:val="20"/>
              </w:rPr>
              <w:noBreakHyphen/>
            </w:r>
            <w:r w:rsidRPr="00B9668F">
              <w:rPr>
                <w:rFonts w:eastAsia="Times New Roman"/>
                <w:szCs w:val="20"/>
              </w:rPr>
              <w:t>10</w:t>
            </w:r>
          </w:p>
        </w:tc>
      </w:tr>
      <w:tr w:rsidR="002357F5" w:rsidRPr="00B9668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68F">
              <w:rPr>
                <w:rFonts w:eastAsia="Times New Roman"/>
                <w:szCs w:val="20"/>
              </w:rPr>
              <w:t>63</w:t>
            </w:r>
            <w:r w:rsidR="00B9668F" w:rsidRPr="00B9668F">
              <w:rPr>
                <w:rFonts w:eastAsia="Times New Roman"/>
                <w:szCs w:val="20"/>
              </w:rPr>
              <w:noBreakHyphen/>
            </w:r>
            <w:r w:rsidRPr="00B9668F">
              <w:rPr>
                <w:rFonts w:eastAsia="Times New Roman"/>
                <w:szCs w:val="20"/>
              </w:rPr>
              <w:t>1</w:t>
            </w:r>
            <w:r w:rsidR="00B9668F" w:rsidRPr="00B9668F">
              <w:rPr>
                <w:rFonts w:eastAsia="Times New Roman"/>
                <w:szCs w:val="20"/>
              </w:rPr>
              <w:noBreakHyphen/>
            </w:r>
            <w:r w:rsidRPr="00B9668F">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68F">
              <w:rPr>
                <w:rFonts w:eastAsia="Times New Roman"/>
                <w:szCs w:val="20"/>
              </w:rPr>
              <w:t>20</w:t>
            </w:r>
            <w:r w:rsidR="00B9668F" w:rsidRPr="00B9668F">
              <w:rPr>
                <w:rFonts w:eastAsia="Times New Roman"/>
                <w:szCs w:val="20"/>
              </w:rPr>
              <w:noBreakHyphen/>
            </w:r>
            <w:r w:rsidRPr="00B9668F">
              <w:rPr>
                <w:rFonts w:eastAsia="Times New Roman"/>
                <w:szCs w:val="20"/>
              </w:rPr>
              <w:t>7</w:t>
            </w:r>
            <w:r w:rsidR="00B9668F" w:rsidRPr="00B9668F">
              <w:rPr>
                <w:rFonts w:eastAsia="Times New Roman"/>
                <w:szCs w:val="20"/>
              </w:rPr>
              <w:noBreakHyphen/>
            </w:r>
            <w:r w:rsidRPr="00B9668F">
              <w:rPr>
                <w:rFonts w:eastAsia="Times New Roman"/>
                <w:szCs w:val="20"/>
              </w:rPr>
              <w:t>20</w:t>
            </w:r>
          </w:p>
        </w:tc>
      </w:tr>
      <w:tr w:rsidR="002357F5" w:rsidRPr="00B9668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68F">
              <w:rPr>
                <w:rFonts w:eastAsia="Times New Roman"/>
                <w:szCs w:val="20"/>
              </w:rPr>
              <w:t>63</w:t>
            </w:r>
            <w:r w:rsidR="00B9668F" w:rsidRPr="00B9668F">
              <w:rPr>
                <w:rFonts w:eastAsia="Times New Roman"/>
                <w:szCs w:val="20"/>
              </w:rPr>
              <w:noBreakHyphen/>
            </w:r>
            <w:r w:rsidRPr="00B9668F">
              <w:rPr>
                <w:rFonts w:eastAsia="Times New Roman"/>
                <w:szCs w:val="20"/>
              </w:rPr>
              <w:t>1</w:t>
            </w:r>
            <w:r w:rsidR="00B9668F" w:rsidRPr="00B9668F">
              <w:rPr>
                <w:rFonts w:eastAsia="Times New Roman"/>
                <w:szCs w:val="20"/>
              </w:rPr>
              <w:noBreakHyphen/>
            </w:r>
            <w:r w:rsidRPr="00B9668F">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68F">
              <w:rPr>
                <w:rFonts w:eastAsia="Times New Roman"/>
                <w:szCs w:val="20"/>
              </w:rPr>
              <w:t>20</w:t>
            </w:r>
            <w:r w:rsidR="00B9668F" w:rsidRPr="00B9668F">
              <w:rPr>
                <w:rFonts w:eastAsia="Times New Roman"/>
                <w:szCs w:val="20"/>
              </w:rPr>
              <w:noBreakHyphen/>
            </w:r>
            <w:r w:rsidRPr="00B9668F">
              <w:rPr>
                <w:rFonts w:eastAsia="Times New Roman"/>
                <w:szCs w:val="20"/>
              </w:rPr>
              <w:t>7</w:t>
            </w:r>
            <w:r w:rsidR="00B9668F" w:rsidRPr="00B9668F">
              <w:rPr>
                <w:rFonts w:eastAsia="Times New Roman"/>
                <w:szCs w:val="20"/>
              </w:rPr>
              <w:noBreakHyphen/>
            </w:r>
            <w:r w:rsidRPr="00B9668F">
              <w:rPr>
                <w:rFonts w:eastAsia="Times New Roman"/>
                <w:szCs w:val="20"/>
              </w:rPr>
              <w:t>470</w:t>
            </w:r>
          </w:p>
        </w:tc>
      </w:tr>
      <w:tr w:rsidR="002357F5" w:rsidRPr="00B9668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68F">
              <w:rPr>
                <w:rFonts w:eastAsia="Times New Roman"/>
                <w:szCs w:val="20"/>
              </w:rPr>
              <w:t>63</w:t>
            </w:r>
            <w:r w:rsidR="00B9668F" w:rsidRPr="00B9668F">
              <w:rPr>
                <w:rFonts w:eastAsia="Times New Roman"/>
                <w:szCs w:val="20"/>
              </w:rPr>
              <w:noBreakHyphen/>
            </w:r>
            <w:r w:rsidRPr="00B9668F">
              <w:rPr>
                <w:rFonts w:eastAsia="Times New Roman"/>
                <w:szCs w:val="20"/>
              </w:rPr>
              <w:t>1</w:t>
            </w:r>
            <w:r w:rsidR="00B9668F" w:rsidRPr="00B9668F">
              <w:rPr>
                <w:rFonts w:eastAsia="Times New Roman"/>
                <w:szCs w:val="20"/>
              </w:rPr>
              <w:noBreakHyphen/>
            </w:r>
            <w:r w:rsidRPr="00B9668F">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57F5" w:rsidRP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68F">
              <w:rPr>
                <w:rFonts w:eastAsia="Times New Roman"/>
                <w:szCs w:val="20"/>
              </w:rPr>
              <w:t>20</w:t>
            </w:r>
            <w:r w:rsidR="00B9668F" w:rsidRPr="00B9668F">
              <w:rPr>
                <w:rFonts w:eastAsia="Times New Roman"/>
                <w:szCs w:val="20"/>
              </w:rPr>
              <w:noBreakHyphen/>
            </w:r>
            <w:r w:rsidRPr="00B9668F">
              <w:rPr>
                <w:rFonts w:eastAsia="Times New Roman"/>
                <w:szCs w:val="20"/>
              </w:rPr>
              <w:t>7</w:t>
            </w:r>
            <w:r w:rsidR="00B9668F" w:rsidRPr="00B9668F">
              <w:rPr>
                <w:rFonts w:eastAsia="Times New Roman"/>
                <w:szCs w:val="20"/>
              </w:rPr>
              <w:noBreakHyphen/>
            </w:r>
            <w:r w:rsidRPr="00B9668F">
              <w:rPr>
                <w:rFonts w:eastAsia="Times New Roman"/>
                <w:szCs w:val="20"/>
              </w:rPr>
              <w:t>30</w:t>
            </w:r>
          </w:p>
        </w:tc>
      </w:tr>
    </w:tbl>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b/>
          <w:lang w:val="en-PH"/>
        </w:rPr>
        <w:t xml:space="preserve">SECTION </w:t>
      </w:r>
      <w:r w:rsidR="002357F5" w:rsidRPr="00B9668F">
        <w:rPr>
          <w:b/>
          <w:lang w:val="en-PH"/>
        </w:rPr>
        <w:t>63</w:t>
      </w:r>
      <w:r w:rsidRPr="00B9668F">
        <w:rPr>
          <w:b/>
          <w:lang w:val="en-PH"/>
        </w:rPr>
        <w:noBreakHyphen/>
      </w:r>
      <w:r w:rsidR="002357F5" w:rsidRPr="00B9668F">
        <w:rPr>
          <w:b/>
          <w:lang w:val="en-PH"/>
        </w:rPr>
        <w:t>1</w:t>
      </w:r>
      <w:r w:rsidRPr="00B9668F">
        <w:rPr>
          <w:b/>
          <w:lang w:val="en-PH"/>
        </w:rPr>
        <w:noBreakHyphen/>
      </w:r>
      <w:r w:rsidR="002357F5" w:rsidRPr="00B9668F">
        <w:rPr>
          <w:b/>
          <w:lang w:val="en-PH"/>
        </w:rPr>
        <w:t>10.</w:t>
      </w:r>
      <w:r w:rsidR="002357F5" w:rsidRPr="00B9668F">
        <w:rPr>
          <w:lang w:val="en-PH"/>
        </w:rPr>
        <w:t xml:space="preserve"> Short title.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This title may be cited as the "South Carolina Children's Code".</w:t>
      </w: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57F5" w:rsidRPr="00B9668F">
        <w:rPr>
          <w:lang w:val="en-PH"/>
        </w:rPr>
        <w:t xml:space="preserve">: 2008 Act No. 361, </w:t>
      </w:r>
      <w:r w:rsidRPr="00B9668F">
        <w:rPr>
          <w:lang w:val="en-PH"/>
        </w:rPr>
        <w:t xml:space="preserve">Section </w:t>
      </w:r>
      <w:r w:rsidR="002357F5" w:rsidRPr="00B9668F">
        <w:rPr>
          <w:lang w:val="en-PH"/>
        </w:rPr>
        <w:t>2.</w:t>
      </w:r>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b/>
          <w:lang w:val="en-PH"/>
        </w:rPr>
        <w:t xml:space="preserve">SECTION </w:t>
      </w:r>
      <w:r w:rsidR="002357F5" w:rsidRPr="00B9668F">
        <w:rPr>
          <w:b/>
          <w:lang w:val="en-PH"/>
        </w:rPr>
        <w:t>63</w:t>
      </w:r>
      <w:r w:rsidRPr="00B9668F">
        <w:rPr>
          <w:b/>
          <w:lang w:val="en-PH"/>
        </w:rPr>
        <w:noBreakHyphen/>
      </w:r>
      <w:r w:rsidR="002357F5" w:rsidRPr="00B9668F">
        <w:rPr>
          <w:b/>
          <w:lang w:val="en-PH"/>
        </w:rPr>
        <w:t>1</w:t>
      </w:r>
      <w:r w:rsidRPr="00B9668F">
        <w:rPr>
          <w:b/>
          <w:lang w:val="en-PH"/>
        </w:rPr>
        <w:noBreakHyphen/>
      </w:r>
      <w:r w:rsidR="002357F5" w:rsidRPr="00B9668F">
        <w:rPr>
          <w:b/>
          <w:lang w:val="en-PH"/>
        </w:rPr>
        <w:t>20.</w:t>
      </w:r>
      <w:r w:rsidR="002357F5" w:rsidRPr="00B9668F">
        <w:rPr>
          <w:lang w:val="en-PH"/>
        </w:rPr>
        <w:t xml:space="preserve"> Policy.</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(A) A children's policy is hereby established for this State.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w:t>
      </w:r>
      <w:r w:rsidR="00B9668F" w:rsidRPr="00B9668F">
        <w:rPr>
          <w:lang w:val="en-PH"/>
        </w:rPr>
        <w:noBreakHyphen/>
      </w:r>
      <w:r w:rsidRPr="00B9668F">
        <w:rPr>
          <w:lang w:val="en-PH"/>
        </w:rPr>
        <w:t>for</w:t>
      </w:r>
      <w:r w:rsidR="00B9668F" w:rsidRPr="00B9668F">
        <w:rPr>
          <w:lang w:val="en-PH"/>
        </w:rPr>
        <w:noBreakHyphen/>
      </w:r>
      <w:r w:rsidRPr="00B9668F">
        <w:rPr>
          <w:lang w:val="en-PH"/>
        </w:rPr>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lastRenderedPageBreak/>
        <w:tab/>
        <w:t>(E) 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57F5" w:rsidRPr="00B9668F">
        <w:rPr>
          <w:lang w:val="en-PH"/>
        </w:rPr>
        <w:t xml:space="preserve">: 2008 Act No. 361, </w:t>
      </w:r>
      <w:r w:rsidRPr="00B9668F">
        <w:rPr>
          <w:lang w:val="en-PH"/>
        </w:rPr>
        <w:t xml:space="preserve">Section </w:t>
      </w:r>
      <w:r w:rsidR="002357F5" w:rsidRPr="00B9668F">
        <w:rPr>
          <w:lang w:val="en-PH"/>
        </w:rPr>
        <w:t>2.</w:t>
      </w:r>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b/>
          <w:lang w:val="en-PH"/>
        </w:rPr>
        <w:t xml:space="preserve">SECTION </w:t>
      </w:r>
      <w:r w:rsidR="002357F5" w:rsidRPr="00B9668F">
        <w:rPr>
          <w:b/>
          <w:lang w:val="en-PH"/>
        </w:rPr>
        <w:t>63</w:t>
      </w:r>
      <w:r w:rsidRPr="00B9668F">
        <w:rPr>
          <w:b/>
          <w:lang w:val="en-PH"/>
        </w:rPr>
        <w:noBreakHyphen/>
      </w:r>
      <w:r w:rsidR="002357F5" w:rsidRPr="00B9668F">
        <w:rPr>
          <w:b/>
          <w:lang w:val="en-PH"/>
        </w:rPr>
        <w:t>1</w:t>
      </w:r>
      <w:r w:rsidRPr="00B9668F">
        <w:rPr>
          <w:b/>
          <w:lang w:val="en-PH"/>
        </w:rPr>
        <w:noBreakHyphen/>
      </w:r>
      <w:r w:rsidR="002357F5" w:rsidRPr="00B9668F">
        <w:rPr>
          <w:b/>
          <w:lang w:val="en-PH"/>
        </w:rPr>
        <w:t>30.</w:t>
      </w:r>
      <w:r w:rsidR="002357F5" w:rsidRPr="00B9668F">
        <w:rPr>
          <w:lang w:val="en-PH"/>
        </w:rPr>
        <w:t xml:space="preserve"> Construction of title.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This title shall be liberally construed to the end that families whose unity or well</w:t>
      </w:r>
      <w:r w:rsidR="00B9668F" w:rsidRPr="00B9668F">
        <w:rPr>
          <w:lang w:val="en-PH"/>
        </w:rPr>
        <w:noBreakHyphen/>
      </w:r>
      <w:r w:rsidRPr="00B9668F">
        <w:rPr>
          <w:lang w:val="en-PH"/>
        </w:rPr>
        <w:t>being is threatened shall be assisted and protected, and restored if possible as secure units of law</w:t>
      </w:r>
      <w:r w:rsidR="00B9668F" w:rsidRPr="00B9668F">
        <w:rPr>
          <w:lang w:val="en-PH"/>
        </w:rPr>
        <w:noBreakHyphen/>
      </w:r>
      <w:r w:rsidRPr="00B9668F">
        <w:rPr>
          <w:lang w:val="en-PH"/>
        </w:rPr>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57F5" w:rsidRPr="00B9668F">
        <w:rPr>
          <w:lang w:val="en-PH"/>
        </w:rPr>
        <w:t xml:space="preserve">: 2008 Act No. 361, </w:t>
      </w:r>
      <w:r w:rsidRPr="00B9668F">
        <w:rPr>
          <w:lang w:val="en-PH"/>
        </w:rPr>
        <w:t xml:space="preserve">Section </w:t>
      </w:r>
      <w:r w:rsidR="002357F5" w:rsidRPr="00B9668F">
        <w:rPr>
          <w:lang w:val="en-PH"/>
        </w:rPr>
        <w:t>2.</w:t>
      </w:r>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b/>
          <w:lang w:val="en-PH"/>
        </w:rPr>
        <w:t xml:space="preserve">SECTION </w:t>
      </w:r>
      <w:r w:rsidR="002357F5" w:rsidRPr="00B9668F">
        <w:rPr>
          <w:b/>
          <w:lang w:val="en-PH"/>
        </w:rPr>
        <w:t>63</w:t>
      </w:r>
      <w:r w:rsidRPr="00B9668F">
        <w:rPr>
          <w:b/>
          <w:lang w:val="en-PH"/>
        </w:rPr>
        <w:noBreakHyphen/>
      </w:r>
      <w:r w:rsidR="002357F5" w:rsidRPr="00B9668F">
        <w:rPr>
          <w:b/>
          <w:lang w:val="en-PH"/>
        </w:rPr>
        <w:t>1</w:t>
      </w:r>
      <w:r w:rsidRPr="00B9668F">
        <w:rPr>
          <w:b/>
          <w:lang w:val="en-PH"/>
        </w:rPr>
        <w:noBreakHyphen/>
      </w:r>
      <w:r w:rsidR="002357F5" w:rsidRPr="00B9668F">
        <w:rPr>
          <w:b/>
          <w:lang w:val="en-PH"/>
        </w:rPr>
        <w:t>40.</w:t>
      </w:r>
      <w:r w:rsidR="002357F5" w:rsidRPr="00B9668F">
        <w:rPr>
          <w:lang w:val="en-PH"/>
        </w:rPr>
        <w:t xml:space="preserve"> Definitions.</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When used in this title and unless otherwise defined or the specific context indicates otherwise: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(1) "Child" means a person under the age of eighteen.</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(2) "Court" means the family court.</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(3) "Guardian" means a person who legally has the care and management of a child.</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(4) "Judge" means the judge of the family court.</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(5) "Parent" means biological parent, adoptive parents, step</w:t>
      </w:r>
      <w:r w:rsidR="00B9668F" w:rsidRPr="00B9668F">
        <w:rPr>
          <w:lang w:val="en-PH"/>
        </w:rPr>
        <w:noBreakHyphen/>
      </w:r>
      <w:r w:rsidRPr="00B9668F">
        <w:rPr>
          <w:lang w:val="en-PH"/>
        </w:rPr>
        <w:t>parent, or person with legal custody.</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(7) "Child caring facility" means a campus with one or more staffed residences and with a total population of twenty or more children who are in care apart from their parents, relatives, or guardians on a continuing full</w:t>
      </w:r>
      <w:r w:rsidR="00B9668F" w:rsidRPr="00B9668F">
        <w:rPr>
          <w:lang w:val="en-PH"/>
        </w:rPr>
        <w:noBreakHyphen/>
      </w:r>
      <w:r w:rsidRPr="00B9668F">
        <w:rPr>
          <w:lang w:val="en-PH"/>
        </w:rPr>
        <w:t>time basis for protection and guidance.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(8) "Foster home" means a household of one or more persons who are licensed or approved to provide full</w:t>
      </w:r>
      <w:r w:rsidR="00B9668F" w:rsidRPr="00B9668F">
        <w:rPr>
          <w:lang w:val="en-PH"/>
        </w:rPr>
        <w:noBreakHyphen/>
      </w:r>
      <w:r w:rsidRPr="00B9668F">
        <w:rPr>
          <w:lang w:val="en-PH"/>
        </w:rPr>
        <w:t>time care for one to five children living apart from their parents or guardians.</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(9) "Residential group care home" means a staffed residence with a population fewer than twenty children who are in care apart from their parents, relatives, or guardians on a full</w:t>
      </w:r>
      <w:r w:rsidR="00B9668F" w:rsidRPr="00B9668F">
        <w:rPr>
          <w:lang w:val="en-PH"/>
        </w:rPr>
        <w:noBreakHyphen/>
      </w:r>
      <w:r w:rsidRPr="00B9668F">
        <w:rPr>
          <w:lang w:val="en-PH"/>
        </w:rPr>
        <w:t>time basis.</w:t>
      </w: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57F5" w:rsidRPr="00B9668F">
        <w:rPr>
          <w:lang w:val="en-PH"/>
        </w:rPr>
        <w:t xml:space="preserve">: 2008 Act No. 361, </w:t>
      </w:r>
      <w:r w:rsidRPr="00B9668F">
        <w:rPr>
          <w:lang w:val="en-PH"/>
        </w:rPr>
        <w:t xml:space="preserve">Section </w:t>
      </w:r>
      <w:r w:rsidR="002357F5" w:rsidRPr="00B9668F">
        <w:rPr>
          <w:lang w:val="en-PH"/>
        </w:rPr>
        <w:t>2.</w:t>
      </w:r>
    </w:p>
    <w:p w:rsidR="00B9668F" w:rsidRP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b/>
          <w:lang w:val="en-PH"/>
        </w:rPr>
        <w:t xml:space="preserve">SECTION </w:t>
      </w:r>
      <w:r w:rsidR="002357F5" w:rsidRPr="00B9668F">
        <w:rPr>
          <w:b/>
          <w:lang w:val="en-PH"/>
        </w:rPr>
        <w:t>63</w:t>
      </w:r>
      <w:r w:rsidRPr="00B9668F">
        <w:rPr>
          <w:b/>
          <w:lang w:val="en-PH"/>
        </w:rPr>
        <w:noBreakHyphen/>
      </w:r>
      <w:r w:rsidR="002357F5" w:rsidRPr="00B9668F">
        <w:rPr>
          <w:b/>
          <w:lang w:val="en-PH"/>
        </w:rPr>
        <w:t>1</w:t>
      </w:r>
      <w:r w:rsidRPr="00B9668F">
        <w:rPr>
          <w:b/>
          <w:lang w:val="en-PH"/>
        </w:rPr>
        <w:noBreakHyphen/>
      </w:r>
      <w:r w:rsidR="002357F5" w:rsidRPr="00B9668F">
        <w:rPr>
          <w:b/>
          <w:lang w:val="en-PH"/>
        </w:rPr>
        <w:t>50.</w:t>
      </w:r>
      <w:r w:rsidR="002357F5" w:rsidRPr="00B9668F">
        <w:rPr>
          <w:lang w:val="en-PH"/>
        </w:rPr>
        <w:t xml:space="preserve"> Joint Citizens and Legislative Committee on Children.</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 xml:space="preserve">(A)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w:t>
      </w:r>
      <w:r w:rsidRPr="00B9668F">
        <w:rPr>
          <w:lang w:val="en-PH"/>
        </w:rPr>
        <w:lastRenderedPageBreak/>
        <w:t>Governor. The Director of the Department of Juvenile Justice, the Director of the Department of 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(B) The committee shall submit an annual report to the Governor, the President of the Senate, and the Speaker of the House no later than the first of February. The report must detail the work of the committee, account for the committee's expenditures, and provide findings and recommendations the committee develops relating to children's issues it has studied.</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(C) The staffing for the committee must be provided by the Children's Law Center of the University of South Carolina School of Law, subject to funding as provided in subsection (E).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(D) The committee members may not receive compensation but are entitled to mileage, subsistence, and per diem as allowed by law for members of state boards, committees, and commissions.</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(E) The committee shall receive funding as may be provided in the annual general appropriations act or from any other source.</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ab/>
        <w:t>(F) The committee shall terminate and shall cease to exist effective December 31, 2023, unless the General Assembly reauthorizes its continued existence beyond that date by legislation.</w:t>
      </w: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68F" w:rsidRDefault="00B9668F"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57F5" w:rsidRPr="00B9668F">
        <w:rPr>
          <w:lang w:val="en-PH"/>
        </w:rPr>
        <w:t xml:space="preserve">: 2008 Act No. 251, </w:t>
      </w:r>
      <w:r w:rsidRPr="00B9668F">
        <w:rPr>
          <w:lang w:val="en-PH"/>
        </w:rPr>
        <w:t xml:space="preserve">Section </w:t>
      </w:r>
      <w:r w:rsidR="002357F5" w:rsidRPr="00B9668F">
        <w:rPr>
          <w:lang w:val="en-PH"/>
        </w:rPr>
        <w:t xml:space="preserve">1; 2014 Act No. 245 (S.872), </w:t>
      </w:r>
      <w:r w:rsidRPr="00B9668F">
        <w:rPr>
          <w:lang w:val="en-PH"/>
        </w:rPr>
        <w:t xml:space="preserve">Section </w:t>
      </w:r>
      <w:r w:rsidR="002357F5" w:rsidRPr="00B9668F">
        <w:rPr>
          <w:lang w:val="en-PH"/>
        </w:rPr>
        <w:t xml:space="preserve">1, eff June 6, 2014; 2019 Act No. 1 (S.2), </w:t>
      </w:r>
      <w:r w:rsidRPr="00B9668F">
        <w:rPr>
          <w:lang w:val="en-PH"/>
        </w:rPr>
        <w:t xml:space="preserve">Section </w:t>
      </w:r>
      <w:r w:rsidR="002357F5" w:rsidRPr="00B9668F">
        <w:rPr>
          <w:lang w:val="en-PH"/>
        </w:rPr>
        <w:t>76, eff January 31, 2019.</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Effect of Amendment</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 xml:space="preserve">2014 Act No. 245, </w:t>
      </w:r>
      <w:r w:rsidR="00B9668F" w:rsidRPr="00B9668F">
        <w:rPr>
          <w:lang w:val="en-PH"/>
        </w:rPr>
        <w:t xml:space="preserve">Section </w:t>
      </w:r>
      <w:r w:rsidRPr="00B9668F">
        <w:rPr>
          <w:lang w:val="en-PH"/>
        </w:rPr>
        <w:t>1, in subsection (A), inserted "of the Senate"; in subsection (B), deleted the prior first sentence, relating to when the committee becomes operative, deleted "written" before "report" in the first sentence, deleted "commencing in 2009" at the end of the first sentence, and deleted "any" before "findings" in the last sentence; in subsection (D), substituted "may not receive compensation but are entitled to mileage, subsistence, and per diem as allowed" for "are eligible for per diem and mileage as provided"; in subsection (F), substituted "2023" for "2015"; and made other nonsubstantive changes.</w:t>
      </w:r>
    </w:p>
    <w:p w:rsidR="00B9668F" w:rsidRDefault="002357F5"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68F">
        <w:rPr>
          <w:lang w:val="en-PH"/>
        </w:rPr>
        <w:t xml:space="preserve">2019 Act No. 1, </w:t>
      </w:r>
      <w:r w:rsidR="00B9668F" w:rsidRPr="00B9668F">
        <w:rPr>
          <w:lang w:val="en-PH"/>
        </w:rPr>
        <w:t xml:space="preserve">Section </w:t>
      </w:r>
      <w:r w:rsidRPr="00B9668F">
        <w:rPr>
          <w:lang w:val="en-PH"/>
        </w:rPr>
        <w:t>76, in (A), in the first sentence, substituted "President of the Senate" for "President Pro Tempore of the Senate"; and in (B), in the first sentence, substituted "President of the Senate" for "President Pro Tempore of the Senate".</w:t>
      </w:r>
    </w:p>
    <w:p w:rsidR="00F25049" w:rsidRPr="00B9668F" w:rsidRDefault="00F25049" w:rsidP="00B9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668F" w:rsidSect="00B966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68F" w:rsidRDefault="00B9668F" w:rsidP="00B9668F">
      <w:r>
        <w:separator/>
      </w:r>
    </w:p>
  </w:endnote>
  <w:endnote w:type="continuationSeparator" w:id="0">
    <w:p w:rsidR="00B9668F" w:rsidRDefault="00B9668F" w:rsidP="00B9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8F" w:rsidRPr="00B9668F" w:rsidRDefault="00B9668F" w:rsidP="00B96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8F" w:rsidRPr="00B9668F" w:rsidRDefault="00B9668F" w:rsidP="00B96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8F" w:rsidRPr="00B9668F" w:rsidRDefault="00B9668F" w:rsidP="00B9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68F" w:rsidRDefault="00B9668F" w:rsidP="00B9668F">
      <w:r>
        <w:separator/>
      </w:r>
    </w:p>
  </w:footnote>
  <w:footnote w:type="continuationSeparator" w:id="0">
    <w:p w:rsidR="00B9668F" w:rsidRDefault="00B9668F" w:rsidP="00B9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8F" w:rsidRPr="00B9668F" w:rsidRDefault="00B9668F" w:rsidP="00B96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8F" w:rsidRPr="00B9668F" w:rsidRDefault="00B9668F" w:rsidP="00B96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8F" w:rsidRPr="00B9668F" w:rsidRDefault="00B9668F" w:rsidP="00B96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F5"/>
    <w:rsid w:val="002357F5"/>
    <w:rsid w:val="00B966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C0761-742C-43AB-AAFC-BB31A74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5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57F5"/>
    <w:rPr>
      <w:rFonts w:ascii="Courier New" w:eastAsiaTheme="minorEastAsia" w:hAnsi="Courier New" w:cs="Courier New"/>
      <w:sz w:val="20"/>
      <w:szCs w:val="20"/>
    </w:rPr>
  </w:style>
  <w:style w:type="paragraph" w:styleId="Header">
    <w:name w:val="header"/>
    <w:basedOn w:val="Normal"/>
    <w:link w:val="HeaderChar"/>
    <w:uiPriority w:val="99"/>
    <w:unhideWhenUsed/>
    <w:rsid w:val="00B9668F"/>
    <w:pPr>
      <w:tabs>
        <w:tab w:val="center" w:pos="4680"/>
        <w:tab w:val="right" w:pos="9360"/>
      </w:tabs>
    </w:pPr>
  </w:style>
  <w:style w:type="character" w:customStyle="1" w:styleId="HeaderChar">
    <w:name w:val="Header Char"/>
    <w:basedOn w:val="DefaultParagraphFont"/>
    <w:link w:val="Header"/>
    <w:uiPriority w:val="99"/>
    <w:rsid w:val="00B9668F"/>
  </w:style>
  <w:style w:type="paragraph" w:styleId="Footer">
    <w:name w:val="footer"/>
    <w:basedOn w:val="Normal"/>
    <w:link w:val="FooterChar"/>
    <w:uiPriority w:val="99"/>
    <w:unhideWhenUsed/>
    <w:rsid w:val="00B9668F"/>
    <w:pPr>
      <w:tabs>
        <w:tab w:val="center" w:pos="4680"/>
        <w:tab w:val="right" w:pos="9360"/>
      </w:tabs>
    </w:pPr>
  </w:style>
  <w:style w:type="character" w:customStyle="1" w:styleId="FooterChar">
    <w:name w:val="Footer Char"/>
    <w:basedOn w:val="DefaultParagraphFont"/>
    <w:link w:val="Footer"/>
    <w:uiPriority w:val="99"/>
    <w:rsid w:val="00B9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8539</Characters>
  <Application>Microsoft Office Word</Application>
  <DocSecurity>0</DocSecurity>
  <Lines>71</Lines>
  <Paragraphs>20</Paragraphs>
  <ScaleCrop>false</ScaleCrop>
  <Company>Legislative Services Agency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2020-12-18T19:24:00Z</dcterms:created>
  <dcterms:modified xsi:type="dcterms:W3CDTF">2020-12-18T19:24:00Z</dcterms:modified>
</cp:coreProperties>
</file>