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D3E" w:rsidRDefault="00A33845">
      <w:pPr>
        <w:widowControl w:val="0"/>
        <w:jc w:val="center"/>
        <w:rPr>
          <w:rFonts w:cs="Times New Roman"/>
        </w:rPr>
      </w:pPr>
      <w:bookmarkStart w:id="0" w:name="_GoBack"/>
      <w:bookmarkEnd w:id="0"/>
      <w:r>
        <w:rPr>
          <w:rFonts w:cs="Times New Roman"/>
          <w:b/>
        </w:rPr>
        <w:t>South Carolina General Assembly</w:t>
      </w:r>
    </w:p>
    <w:p w:rsidR="00082D3E" w:rsidRDefault="00A33845">
      <w:pPr>
        <w:widowControl w:val="0"/>
        <w:jc w:val="center"/>
        <w:rPr>
          <w:rFonts w:cs="Times New Roman"/>
        </w:rPr>
      </w:pPr>
      <w:r>
        <w:rPr>
          <w:rFonts w:cs="Times New Roman"/>
        </w:rPr>
        <w:t>118th Session, 2009-2010</w:t>
      </w:r>
    </w:p>
    <w:p w:rsidR="00082D3E" w:rsidRDefault="00082D3E">
      <w:pPr>
        <w:widowControl w:val="0"/>
        <w:jc w:val="left"/>
        <w:rPr>
          <w:rFonts w:cs="Times New Roman"/>
        </w:rPr>
      </w:pPr>
    </w:p>
    <w:p w:rsidR="00082D3E" w:rsidRDefault="00A33845">
      <w:pPr>
        <w:widowControl w:val="0"/>
        <w:jc w:val="left"/>
        <w:rPr>
          <w:rFonts w:cs="Times New Roman"/>
          <w:b/>
        </w:rPr>
      </w:pPr>
      <w:r>
        <w:rPr>
          <w:rFonts w:cs="Times New Roman"/>
          <w:b/>
        </w:rPr>
        <w:t>S. 110</w:t>
      </w:r>
    </w:p>
    <w:p w:rsidR="00082D3E" w:rsidRDefault="00082D3E">
      <w:pPr>
        <w:widowControl w:val="0"/>
        <w:jc w:val="left"/>
        <w:rPr>
          <w:rFonts w:cs="Times New Roman"/>
          <w:b/>
        </w:rPr>
      </w:pPr>
    </w:p>
    <w:p w:rsidR="00082D3E" w:rsidRDefault="00A33845">
      <w:pPr>
        <w:widowControl w:val="0"/>
        <w:jc w:val="left"/>
        <w:rPr>
          <w:rFonts w:cs="Times New Roman"/>
        </w:rPr>
      </w:pPr>
      <w:r>
        <w:rPr>
          <w:rFonts w:cs="Times New Roman"/>
          <w:b/>
        </w:rPr>
        <w:t>STATUS INFORMATION</w:t>
      </w:r>
    </w:p>
    <w:p w:rsidR="00082D3E" w:rsidRDefault="00082D3E">
      <w:pPr>
        <w:widowControl w:val="0"/>
        <w:jc w:val="left"/>
        <w:rPr>
          <w:rFonts w:cs="Times New Roman"/>
        </w:rPr>
      </w:pPr>
    </w:p>
    <w:p w:rsidR="00082D3E" w:rsidRDefault="00A33845">
      <w:pPr>
        <w:widowControl w:val="0"/>
        <w:jc w:val="left"/>
        <w:rPr>
          <w:rFonts w:cs="Times New Roman"/>
        </w:rPr>
      </w:pPr>
      <w:r>
        <w:rPr>
          <w:rFonts w:cs="Times New Roman"/>
        </w:rPr>
        <w:t>General Bill</w:t>
      </w:r>
    </w:p>
    <w:p w:rsidR="00082D3E" w:rsidRDefault="00A33845">
      <w:pPr>
        <w:widowControl w:val="0"/>
        <w:jc w:val="left"/>
        <w:rPr>
          <w:rFonts w:cs="Times New Roman"/>
        </w:rPr>
      </w:pPr>
      <w:r>
        <w:rPr>
          <w:rFonts w:cs="Times New Roman"/>
        </w:rPr>
        <w:t>Sponsors: Senator Malloy</w:t>
      </w:r>
    </w:p>
    <w:p w:rsidR="00082D3E" w:rsidRDefault="00A33845">
      <w:pPr>
        <w:widowControl w:val="0"/>
        <w:jc w:val="left"/>
        <w:rPr>
          <w:rFonts w:cs="Times New Roman"/>
        </w:rPr>
      </w:pPr>
      <w:r>
        <w:rPr>
          <w:rFonts w:cs="Times New Roman"/>
        </w:rPr>
        <w:t>Document Path: l:\s-jud\bills\malloy\jud0024.kw.docx</w:t>
      </w:r>
    </w:p>
    <w:p w:rsidR="00FD3CFC" w:rsidRDefault="00FD3CFC">
      <w:pPr>
        <w:widowControl w:val="0"/>
        <w:jc w:val="left"/>
        <w:rPr>
          <w:rFonts w:cs="Times New Roman"/>
        </w:rPr>
      </w:pPr>
      <w:r>
        <w:rPr>
          <w:rFonts w:cs="Times New Roman"/>
        </w:rPr>
        <w:t>Companion/Similar bill(s): 1217</w:t>
      </w:r>
    </w:p>
    <w:p w:rsidR="00082D3E" w:rsidRDefault="00082D3E">
      <w:pPr>
        <w:widowControl w:val="0"/>
        <w:jc w:val="left"/>
        <w:rPr>
          <w:rFonts w:cs="Times New Roman"/>
        </w:rPr>
      </w:pPr>
    </w:p>
    <w:p w:rsidR="00082D3E" w:rsidRDefault="00A33845">
      <w:pPr>
        <w:widowControl w:val="0"/>
        <w:jc w:val="left"/>
        <w:rPr>
          <w:rFonts w:cs="Times New Roman"/>
        </w:rPr>
      </w:pPr>
      <w:r>
        <w:rPr>
          <w:rFonts w:cs="Times New Roman"/>
        </w:rPr>
        <w:t>Introduced in the Senate on January 13, 2009</w:t>
      </w:r>
    </w:p>
    <w:p w:rsidR="00082D3E" w:rsidRDefault="00A33845">
      <w:pPr>
        <w:widowControl w:val="0"/>
        <w:jc w:val="left"/>
        <w:rPr>
          <w:rFonts w:cs="Times New Roman"/>
        </w:rPr>
      </w:pPr>
      <w:r>
        <w:rPr>
          <w:rFonts w:cs="Times New Roman"/>
        </w:rPr>
        <w:t>Introduced in the House on March 9, 2009</w:t>
      </w:r>
    </w:p>
    <w:p w:rsidR="00082D3E" w:rsidRDefault="00A33845">
      <w:pPr>
        <w:widowControl w:val="0"/>
        <w:jc w:val="left"/>
        <w:rPr>
          <w:rFonts w:cs="Times New Roman"/>
        </w:rPr>
      </w:pPr>
      <w:r>
        <w:rPr>
          <w:rFonts w:cs="Times New Roman"/>
        </w:rPr>
        <w:t xml:space="preserve">Currently residing in the House Committee on </w:t>
      </w:r>
      <w:r>
        <w:rPr>
          <w:rFonts w:cs="Times New Roman"/>
          <w:b/>
        </w:rPr>
        <w:t>Judiciary</w:t>
      </w:r>
    </w:p>
    <w:p w:rsidR="00082D3E" w:rsidRDefault="00082D3E">
      <w:pPr>
        <w:widowControl w:val="0"/>
        <w:jc w:val="left"/>
        <w:rPr>
          <w:rFonts w:cs="Times New Roman"/>
        </w:rPr>
      </w:pPr>
    </w:p>
    <w:p w:rsidR="00082D3E" w:rsidRDefault="00A33845">
      <w:pPr>
        <w:widowControl w:val="0"/>
        <w:jc w:val="left"/>
        <w:rPr>
          <w:rFonts w:cs="Times New Roman"/>
        </w:rPr>
      </w:pPr>
      <w:r>
        <w:rPr>
          <w:rFonts w:cs="Times New Roman"/>
        </w:rPr>
        <w:t>Summary: Education Lottery Act</w:t>
      </w:r>
    </w:p>
    <w:p w:rsidR="00082D3E" w:rsidRDefault="00082D3E">
      <w:pPr>
        <w:widowControl w:val="0"/>
        <w:jc w:val="left"/>
        <w:rPr>
          <w:rFonts w:cs="Times New Roman"/>
        </w:rPr>
      </w:pPr>
    </w:p>
    <w:p w:rsidR="00082D3E" w:rsidRDefault="00082D3E">
      <w:pPr>
        <w:widowControl w:val="0"/>
        <w:jc w:val="left"/>
        <w:rPr>
          <w:rFonts w:cs="Times New Roman"/>
        </w:rPr>
      </w:pPr>
    </w:p>
    <w:p w:rsidR="00082D3E" w:rsidRDefault="00A3384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82D3E" w:rsidRDefault="00082D3E">
      <w:pPr>
        <w:widowControl w:val="0"/>
        <w:tabs>
          <w:tab w:val="center" w:pos="590"/>
          <w:tab w:val="center" w:pos="1440"/>
          <w:tab w:val="left" w:pos="1872"/>
          <w:tab w:val="left" w:pos="9187"/>
        </w:tabs>
        <w:jc w:val="left"/>
        <w:rPr>
          <w:rFonts w:cs="Times New Roman"/>
        </w:rPr>
      </w:pPr>
    </w:p>
    <w:p w:rsidR="00082D3E" w:rsidRDefault="00A3384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42DE8">
          <w:rPr>
            <w:rStyle w:val="Hyperlink"/>
            <w:rFonts w:cs="Times New Roman"/>
          </w:rPr>
          <w:t>SJ</w:t>
        </w:r>
      </w:hyperlink>
      <w:r>
        <w:rPr>
          <w:rFonts w:cs="Times New Roman"/>
        </w:rPr>
        <w:noBreakHyphen/>
        <w:t>121</w:t>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F42DE8">
          <w:rPr>
            <w:rStyle w:val="Hyperlink"/>
            <w:rFonts w:cs="Times New Roman"/>
          </w:rPr>
          <w:t>SJ</w:t>
        </w:r>
      </w:hyperlink>
      <w:r>
        <w:rPr>
          <w:rFonts w:cs="Times New Roman"/>
        </w:rPr>
        <w:noBreakHyphen/>
        <w:t>121</w:t>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Senate</w:t>
      </w:r>
      <w:r>
        <w:rPr>
          <w:rFonts w:cs="Times New Roman"/>
        </w:rPr>
        <w:tab/>
        <w:t xml:space="preserve">Committee report: Favorable </w:t>
      </w:r>
      <w:r>
        <w:rPr>
          <w:rFonts w:cs="Times New Roman"/>
          <w:b/>
        </w:rPr>
        <w:t>Education</w:t>
      </w:r>
      <w:r>
        <w:rPr>
          <w:rFonts w:cs="Times New Roman"/>
        </w:rPr>
        <w:t xml:space="preserve"> </w:t>
      </w:r>
      <w:hyperlink r:id="rId8" w:history="1">
        <w:r w:rsidRPr="00F42DE8">
          <w:rPr>
            <w:rStyle w:val="Hyperlink"/>
            <w:rFonts w:cs="Times New Roman"/>
          </w:rPr>
          <w:t>SJ</w:t>
        </w:r>
      </w:hyperlink>
      <w:r>
        <w:rPr>
          <w:rFonts w:cs="Times New Roman"/>
        </w:rPr>
        <w:noBreakHyphen/>
        <w:t>5</w:t>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3/4/2009</w:t>
      </w:r>
      <w:r>
        <w:rPr>
          <w:rFonts w:cs="Times New Roman"/>
        </w:rPr>
        <w:tab/>
        <w:t>Senate</w:t>
      </w:r>
      <w:r>
        <w:rPr>
          <w:rFonts w:cs="Times New Roman"/>
        </w:rPr>
        <w:tab/>
        <w:t xml:space="preserve">Read second time </w:t>
      </w:r>
      <w:hyperlink r:id="rId9" w:history="1">
        <w:r w:rsidRPr="00F42DE8">
          <w:rPr>
            <w:rStyle w:val="Hyperlink"/>
            <w:rFonts w:cs="Times New Roman"/>
          </w:rPr>
          <w:t>SJ</w:t>
        </w:r>
      </w:hyperlink>
      <w:r>
        <w:rPr>
          <w:rFonts w:cs="Times New Roman"/>
        </w:rPr>
        <w:noBreakHyphen/>
        <w:t>20</w:t>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3/5/2009</w:t>
      </w:r>
      <w:r>
        <w:rPr>
          <w:rFonts w:cs="Times New Roman"/>
        </w:rPr>
        <w:tab/>
        <w:t>Senate</w:t>
      </w:r>
      <w:r>
        <w:rPr>
          <w:rFonts w:cs="Times New Roman"/>
        </w:rPr>
        <w:tab/>
        <w:t xml:space="preserve">Read third time and sent to House </w:t>
      </w:r>
      <w:hyperlink r:id="rId10" w:history="1">
        <w:r w:rsidRPr="00F42DE8">
          <w:rPr>
            <w:rStyle w:val="Hyperlink"/>
            <w:rFonts w:cs="Times New Roman"/>
          </w:rPr>
          <w:t>SJ</w:t>
        </w:r>
      </w:hyperlink>
      <w:r>
        <w:rPr>
          <w:rFonts w:cs="Times New Roman"/>
        </w:rPr>
        <w:noBreakHyphen/>
        <w:t>12</w:t>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3/9/2009</w:t>
      </w:r>
      <w:r>
        <w:rPr>
          <w:rFonts w:cs="Times New Roman"/>
        </w:rPr>
        <w:tab/>
        <w:t>House</w:t>
      </w:r>
      <w:r>
        <w:rPr>
          <w:rFonts w:cs="Times New Roman"/>
        </w:rPr>
        <w:tab/>
        <w:t xml:space="preserve">Introduced and read first time </w:t>
      </w:r>
      <w:hyperlink r:id="rId11" w:history="1">
        <w:r w:rsidRPr="00F42DE8">
          <w:rPr>
            <w:rStyle w:val="Hyperlink"/>
            <w:rFonts w:cs="Times New Roman"/>
          </w:rPr>
          <w:t>HJ</w:t>
        </w:r>
      </w:hyperlink>
      <w:r>
        <w:rPr>
          <w:rFonts w:cs="Times New Roman"/>
        </w:rPr>
        <w:noBreakHyphen/>
        <w:t>11</w:t>
      </w:r>
    </w:p>
    <w:p w:rsidR="00082D3E" w:rsidRDefault="00A33845">
      <w:pPr>
        <w:widowControl w:val="0"/>
        <w:tabs>
          <w:tab w:val="right" w:pos="1008"/>
          <w:tab w:val="left" w:pos="1152"/>
          <w:tab w:val="left" w:pos="1872"/>
          <w:tab w:val="left" w:pos="9187"/>
        </w:tabs>
        <w:ind w:left="2088" w:hanging="2088"/>
        <w:jc w:val="left"/>
        <w:rPr>
          <w:rFonts w:cs="Times New Roman"/>
        </w:rPr>
      </w:pPr>
      <w:r>
        <w:rPr>
          <w:rFonts w:cs="Times New Roman"/>
        </w:rPr>
        <w:tab/>
        <w:t>3/9/2009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2" w:history="1">
        <w:r w:rsidRPr="00F42DE8">
          <w:rPr>
            <w:rStyle w:val="Hyperlink"/>
            <w:rFonts w:cs="Times New Roman"/>
          </w:rPr>
          <w:t>HJ</w:t>
        </w:r>
      </w:hyperlink>
      <w:r>
        <w:rPr>
          <w:rFonts w:cs="Times New Roman"/>
        </w:rPr>
        <w:noBreakHyphen/>
        <w:t>12</w:t>
      </w:r>
    </w:p>
    <w:p w:rsidR="00082D3E" w:rsidRDefault="00082D3E">
      <w:pPr>
        <w:widowControl w:val="0"/>
        <w:tabs>
          <w:tab w:val="right" w:pos="1008"/>
          <w:tab w:val="left" w:pos="1152"/>
          <w:tab w:val="left" w:pos="1872"/>
          <w:tab w:val="left" w:pos="9187"/>
        </w:tabs>
        <w:ind w:left="2088" w:hanging="2088"/>
        <w:jc w:val="left"/>
        <w:rPr>
          <w:rFonts w:cs="Times New Roman"/>
        </w:rPr>
      </w:pPr>
    </w:p>
    <w:p w:rsidR="00082D3E" w:rsidRDefault="00082D3E">
      <w:pPr>
        <w:widowControl w:val="0"/>
        <w:tabs>
          <w:tab w:val="right" w:pos="1008"/>
          <w:tab w:val="left" w:pos="1152"/>
          <w:tab w:val="left" w:pos="1872"/>
          <w:tab w:val="left" w:pos="9187"/>
        </w:tabs>
        <w:ind w:left="2088" w:hanging="2088"/>
        <w:jc w:val="left"/>
        <w:rPr>
          <w:rFonts w:cs="Times New Roman"/>
        </w:rPr>
      </w:pPr>
    </w:p>
    <w:p w:rsidR="00082D3E" w:rsidRDefault="00A33845">
      <w:pPr>
        <w:widowControl w:val="0"/>
        <w:jc w:val="left"/>
        <w:rPr>
          <w:rFonts w:cs="Times New Roman"/>
        </w:rPr>
      </w:pPr>
      <w:r>
        <w:rPr>
          <w:rFonts w:cs="Times New Roman"/>
          <w:b/>
        </w:rPr>
        <w:t>VERSIONS OF THIS BILL</w:t>
      </w:r>
    </w:p>
    <w:p w:rsidR="00082D3E" w:rsidRDefault="00082D3E">
      <w:pPr>
        <w:widowControl w:val="0"/>
        <w:jc w:val="left"/>
        <w:rPr>
          <w:rFonts w:cs="Times New Roman"/>
        </w:rPr>
      </w:pPr>
    </w:p>
    <w:p w:rsidR="00082D3E" w:rsidRDefault="009C5ADF">
      <w:pPr>
        <w:widowControl w:val="0"/>
        <w:jc w:val="left"/>
        <w:rPr>
          <w:rFonts w:cs="Times New Roman"/>
        </w:rPr>
      </w:pPr>
      <w:hyperlink r:id="rId13" w:history="1">
        <w:r w:rsidR="00A33845">
          <w:rPr>
            <w:rStyle w:val="Hyperlink"/>
            <w:rFonts w:cs="Times New Roman"/>
          </w:rPr>
          <w:t>12/10/2008</w:t>
        </w:r>
      </w:hyperlink>
    </w:p>
    <w:p w:rsidR="00082D3E" w:rsidRDefault="009C5ADF">
      <w:hyperlink r:id="rId14" w:history="1">
        <w:r w:rsidR="00A33845">
          <w:rPr>
            <w:rStyle w:val="Hyperlink"/>
          </w:rPr>
          <w:t>2/26/2009</w:t>
        </w:r>
      </w:hyperlink>
    </w:p>
    <w:p w:rsidR="00082D3E" w:rsidRDefault="00082D3E"/>
    <w:p w:rsidR="00082D3E" w:rsidRDefault="00082D3E">
      <w:pPr>
        <w:sectPr w:rsidR="00082D3E">
          <w:pgSz w:w="12240" w:h="15840" w:code="1"/>
          <w:pgMar w:top="1080" w:right="1440" w:bottom="1080" w:left="1440" w:header="720" w:footer="720" w:gutter="0"/>
          <w:cols w:space="720"/>
          <w:noEndnote/>
          <w:docGrid w:linePitch="360"/>
        </w:sect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REPORT</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26, 2009</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110</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Malloy</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2/26/09--S.</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EDUCATION</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110) </w:t>
      </w:r>
      <w:r>
        <w:rPr>
          <w:rFonts w:eastAsia="Times New Roman" w:cs="Times New Roman"/>
          <w:szCs w:val="20"/>
        </w:rPr>
        <w:t>to amend Section 59-150-210, Code of Laws of South Carolina, 1976, relating to the Education Lottery Act, to permit the sale of lottery tickets on</w:t>
      </w:r>
      <w:r>
        <w:rPr>
          <w:rFonts w:eastAsia="Times New Roman" w:cs="Times New Roman"/>
        </w:rPr>
        <w:t>, etc., respectfully</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E. COURSON for Committee.</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pPr>
      <w:r>
        <w:rPr>
          <w:b/>
        </w:rPr>
        <w:t xml:space="preserve">REVENUE IMPACT </w:t>
      </w:r>
      <w:r>
        <w:rPr>
          <w:b/>
          <w:vertAlign w:val="superscript"/>
        </w:rPr>
        <w:t>1/</w:t>
      </w:r>
    </w:p>
    <w:p w:rsidR="00082D3E" w:rsidRDefault="00A3384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bill would generate an estimated $816,300 in additional lottery revenue to the South Carolina Education Lottery accounts in FY09-10.</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Pr>
          <w:b/>
        </w:rPr>
        <w:t>Explanation</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bill would allow the sale of lottery tickets on general and primary election days. There will be one primary in June FY10. Based on past lottery sales data, the average daily proceeds for the second Tuesday in each month total an estimated $816,300.</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082D3E" w:rsidRDefault="00A33845">
      <w:pPr>
        <w:tabs>
          <w:tab w:val="left" w:pos="3024"/>
        </w:tabs>
        <w:suppressAutoHyphens/>
        <w:rPr>
          <w:rFonts w:eastAsia="Times New Roman" w:cs="Times New Roman"/>
        </w:rPr>
      </w:pPr>
      <w:r>
        <w:rPr>
          <w:rFonts w:eastAsia="Times New Roman" w:cs="Times New Roman"/>
        </w:rPr>
        <w:tab/>
        <w:t>William C. Gillespie</w:t>
      </w:r>
    </w:p>
    <w:p w:rsidR="00082D3E" w:rsidRDefault="00A33845">
      <w:pPr>
        <w:tabs>
          <w:tab w:val="left" w:pos="3024"/>
        </w:tabs>
        <w:suppressAutoHyphens/>
        <w:rPr>
          <w:rFonts w:eastAsia="Times New Roman" w:cs="Times New Roman"/>
        </w:rPr>
      </w:pPr>
      <w:r>
        <w:rPr>
          <w:rFonts w:eastAsia="Times New Roman" w:cs="Times New Roman"/>
        </w:rPr>
        <w:tab/>
        <w:t>Board of Economic Advisors</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082D3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59-150-210, CODE OF LAWS OF SOUTH CAROLINA, 1976, RELATING TO THE EDUCATION LOTTERY ACT, TO PERMIT THE SALE OF LOTTERY TICKETS ON GENERAL OR PRIMARY ELECTION DAYS.</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59-150-210 of the 1976 Code is amended to read:</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59-150-210.</w:t>
      </w:r>
      <w:r>
        <w:rPr>
          <w:rFonts w:eastAsia="Times New Roman" w:cs="Times New Roman"/>
          <w:szCs w:val="20"/>
        </w:rPr>
        <w:tab/>
        <w:t>(A)</w:t>
      </w:r>
      <w:r>
        <w:rPr>
          <w:rFonts w:eastAsia="Times New Roman" w:cs="Times New Roman"/>
          <w:szCs w:val="20"/>
        </w:rPr>
        <w:tab/>
        <w:t>A person shall not sell a lottery game ticket or share at a price other than that established by the commission. A person, other than a duly certified lottery retailer, shall not sell lottery game tickets, but a person may purchase lawfully lottery game tickets or shares and make a gift of the lottery game tickets or shares to another. The commission may designate certain agents and employees to sell lottery game tickets or shares directly to the public.</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Lottery game tickets or shares shall not be purchased and given by merchants as a means of promoting goods or services to customers or prospective customers, except as approved in writing by the commission.</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 lottery retailer shall not sell a lottery game ticket or share except from the locations listed in the lottery retailer’s contract and as evidenced by the lottery retailer’s certificate of authorization unless the commission authorizes, in writing, a temporary location not listed in the lottery retailer’s contract.</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Lottery game tickets or shares must not be sold to persons under eighteen years of age, but a person eighteen years of age or older may purchase lawfully lottery game tickets or shares and make a gift to a person of any age. If a minor lawfully receives a winning lottery game ticket, the commission may direct payment of proceeds of a lottery prize in an amount not exceeding two thousand five hundred dollars to the parent or guardian of the minor without court approval and without appointment of a conservator. In the case of a lottery prize greater than two thousand five hundred dollars and not exceeding twenty</w:t>
      </w:r>
      <w:r>
        <w:rPr>
          <w:rFonts w:eastAsia="Times New Roman" w:cs="Times New Roman"/>
          <w:szCs w:val="20"/>
        </w:rPr>
        <w:noBreakHyphen/>
        <w:t>five thousand dollars, payment must be made in accordance with the procedures outlined in Section 62</w:t>
      </w:r>
      <w:r>
        <w:rPr>
          <w:rFonts w:eastAsia="Times New Roman" w:cs="Times New Roman"/>
          <w:szCs w:val="20"/>
        </w:rPr>
        <w:noBreakHyphen/>
        <w:t>5</w:t>
      </w:r>
      <w:r>
        <w:rPr>
          <w:rFonts w:eastAsia="Times New Roman" w:cs="Times New Roman"/>
          <w:szCs w:val="20"/>
        </w:rPr>
        <w:noBreakHyphen/>
        <w:t>103 as they relate to distribution. In the case of a prize in an amount greater than twenty</w:t>
      </w:r>
      <w:r>
        <w:rPr>
          <w:rFonts w:eastAsia="Times New Roman" w:cs="Times New Roman"/>
          <w:szCs w:val="20"/>
        </w:rPr>
        <w:noBreakHyphen/>
        <w:t>five thousand dollars, payment must be made to a duly appointed conservator to be held for the benefit of the minor, pursuant to Section 62</w:t>
      </w:r>
      <w:r>
        <w:rPr>
          <w:rFonts w:eastAsia="Times New Roman" w:cs="Times New Roman"/>
          <w:szCs w:val="20"/>
        </w:rPr>
        <w:noBreakHyphen/>
        <w:t>5</w:t>
      </w:r>
      <w:r>
        <w:rPr>
          <w:rFonts w:eastAsia="Times New Roman" w:cs="Times New Roman"/>
          <w:szCs w:val="20"/>
        </w:rPr>
        <w:noBreakHyphen/>
        <w:t>433.</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A lottery ticket or share must not be sold on the date of any general or primary election; for a lottery game other than that defined in Section 59</w:t>
      </w:r>
      <w:r>
        <w:rPr>
          <w:rFonts w:eastAsia="Times New Roman" w:cs="Times New Roman"/>
          <w:strike/>
          <w:szCs w:val="20"/>
        </w:rPr>
        <w:noBreakHyphen/>
        <w:t>150</w:t>
      </w:r>
      <w:r>
        <w:rPr>
          <w:rFonts w:eastAsia="Times New Roman" w:cs="Times New Roman"/>
          <w:strike/>
          <w:szCs w:val="20"/>
        </w:rPr>
        <w:noBreakHyphen/>
        <w:t>20(7); or for a lottery game with corporate sponsorship.</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trike/>
          <w:szCs w:val="20"/>
        </w:rPr>
        <w:t>(F)</w:t>
      </w:r>
      <w:r>
        <w:rPr>
          <w:rFonts w:eastAsia="Times New Roman" w:cs="Times New Roman"/>
          <w:szCs w:val="20"/>
        </w:rPr>
        <w:t>(E)</w:t>
      </w:r>
      <w:r>
        <w:rPr>
          <w:rFonts w:eastAsia="Times New Roman" w:cs="Times New Roman"/>
          <w:szCs w:val="20"/>
        </w:rPr>
        <w:tab/>
        <w:t>A lottery ticket or share must not be sold on the campus of a public institution of higher learning as defined in Section 59</w:t>
      </w:r>
      <w:r>
        <w:rPr>
          <w:rFonts w:eastAsia="Times New Roman" w:cs="Times New Roman"/>
          <w:szCs w:val="20"/>
        </w:rPr>
        <w:noBreakHyphen/>
        <w:t>103</w:t>
      </w:r>
      <w:r>
        <w:rPr>
          <w:rFonts w:eastAsia="Times New Roman" w:cs="Times New Roman"/>
          <w:szCs w:val="20"/>
        </w:rPr>
        <w:noBreakHyphen/>
        <w:t>5.”</w:t>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082D3E" w:rsidRDefault="00A3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082D3E" w:rsidRDefault="0008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82D3E" w:rsidSect="00082D3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D3E" w:rsidRDefault="00A33845">
      <w:r>
        <w:separator/>
      </w:r>
    </w:p>
  </w:endnote>
  <w:endnote w:type="continuationSeparator" w:id="0">
    <w:p w:rsidR="00082D3E" w:rsidRDefault="00A3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C05820-8FE1-42B8-9F40-C164BD6F1A2B}"/>
    <w:embedBold r:id="rId2" w:fontKey="{5A4EE809-C998-4226-A8F8-04163B804479}"/>
    <w:embedItalic r:id="rId3" w:fontKey="{2B0D8E10-84DA-4F28-ACDC-711F211DF239}"/>
  </w:font>
  <w:font w:name="Calibri">
    <w:panose1 w:val="020F0502020204030204"/>
    <w:charset w:val="00"/>
    <w:family w:val="swiss"/>
    <w:pitch w:val="variable"/>
    <w:sig w:usb0="E10002FF" w:usb1="4000ACFF" w:usb2="00000009" w:usb3="00000000" w:csb0="0000019F" w:csb1="00000000"/>
    <w:embedRegular r:id="rId4" w:fontKey="{7370BA7A-8E66-413D-8A7E-4F821E2E8FCB}"/>
    <w:embedBold r:id="rId5" w:fontKey="{7AA54286-D654-4132-A761-DFFDBA0AB77D}"/>
  </w:font>
  <w:font w:name="Tahoma">
    <w:panose1 w:val="020B0604030504040204"/>
    <w:charset w:val="00"/>
    <w:family w:val="swiss"/>
    <w:pitch w:val="variable"/>
    <w:sig w:usb0="21002A87" w:usb1="80000000" w:usb2="00000008" w:usb3="00000000" w:csb0="000101FF" w:csb1="00000000"/>
    <w:embedRegular r:id="rId6" w:fontKey="{CC12F7A7-B955-4147-94F0-3D451525B01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539E1AA3-B6E2-475B-8FDB-59AAD77C4E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D3E" w:rsidRDefault="00A33845">
    <w:pPr>
      <w:pStyle w:val="Footer"/>
      <w:tabs>
        <w:tab w:val="clear" w:pos="4680"/>
        <w:tab w:val="clear" w:pos="9360"/>
        <w:tab w:val="center" w:pos="2995"/>
      </w:tabs>
      <w:spacing w:before="120"/>
    </w:pPr>
    <w:r>
      <w:t>[110-</w:t>
    </w:r>
    <w:r w:rsidR="009C5ADF">
      <w:fldChar w:fldCharType="begin"/>
    </w:r>
    <w:r w:rsidR="009C5ADF">
      <w:instrText xml:space="preserve"> PAGE  \* MERGEFORMAT </w:instrText>
    </w:r>
    <w:r w:rsidR="009C5ADF">
      <w:fldChar w:fldCharType="separate"/>
    </w:r>
    <w:r w:rsidR="009C5ADF">
      <w:rPr>
        <w:noProof/>
      </w:rPr>
      <w:t>1</w:t>
    </w:r>
    <w:r w:rsidR="009C5A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D3E" w:rsidRDefault="00A33845">
    <w:pPr>
      <w:pStyle w:val="Footer"/>
      <w:tabs>
        <w:tab w:val="clear" w:pos="4680"/>
        <w:tab w:val="clear" w:pos="9360"/>
        <w:tab w:val="center" w:pos="2995"/>
      </w:tabs>
      <w:spacing w:before="120"/>
    </w:pPr>
    <w:r>
      <w:t>[110]</w:t>
    </w:r>
    <w:r>
      <w:tab/>
    </w:r>
    <w:r w:rsidR="009C5ADF">
      <w:fldChar w:fldCharType="begin"/>
    </w:r>
    <w:r w:rsidR="009C5ADF">
      <w:instrText xml:space="preserve"> PAGE  \* MERGEFORMAT </w:instrText>
    </w:r>
    <w:r w:rsidR="009C5ADF">
      <w:fldChar w:fldCharType="separate"/>
    </w:r>
    <w:r>
      <w:rPr>
        <w:noProof/>
      </w:rPr>
      <w:t>2</w:t>
    </w:r>
    <w:r w:rsidR="009C5A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D3E" w:rsidRDefault="00A33845">
      <w:r>
        <w:separator/>
      </w:r>
    </w:p>
  </w:footnote>
  <w:footnote w:type="continuationSeparator" w:id="0">
    <w:p w:rsidR="00082D3E" w:rsidRDefault="00A338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82D3E"/>
    <w:rsid w:val="00082D3E"/>
    <w:rsid w:val="00224880"/>
    <w:rsid w:val="00237232"/>
    <w:rsid w:val="009C5ADF"/>
    <w:rsid w:val="00A33845"/>
    <w:rsid w:val="00F139FC"/>
    <w:rsid w:val="00F42DE8"/>
    <w:rsid w:val="00F660C5"/>
    <w:rsid w:val="00FD3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55BA14-AF33-45CD-A8D0-4221B991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82D3E"/>
    <w:rPr>
      <w:szCs w:val="21"/>
    </w:rPr>
  </w:style>
  <w:style w:type="character" w:customStyle="1" w:styleId="PlainTextChar">
    <w:name w:val="Plain Text Char"/>
    <w:basedOn w:val="DefaultParagraphFont"/>
    <w:link w:val="PlainText"/>
    <w:uiPriority w:val="99"/>
    <w:rsid w:val="00082D3E"/>
    <w:rPr>
      <w:szCs w:val="21"/>
    </w:rPr>
  </w:style>
  <w:style w:type="paragraph" w:styleId="BodyText">
    <w:name w:val="Body Text"/>
    <w:basedOn w:val="Normal"/>
    <w:link w:val="BodyTextChar"/>
    <w:uiPriority w:val="99"/>
    <w:locked/>
    <w:rsid w:val="00082D3E"/>
  </w:style>
  <w:style w:type="character" w:customStyle="1" w:styleId="BodyTextChar">
    <w:name w:val="Body Text Char"/>
    <w:basedOn w:val="DefaultParagraphFont"/>
    <w:link w:val="BodyText"/>
    <w:uiPriority w:val="99"/>
    <w:rsid w:val="00082D3E"/>
  </w:style>
  <w:style w:type="paragraph" w:styleId="BalloonText">
    <w:name w:val="Balloon Text"/>
    <w:next w:val="Normal"/>
    <w:link w:val="BalloonTextChar"/>
    <w:uiPriority w:val="99"/>
    <w:unhideWhenUsed/>
    <w:rsid w:val="00082D3E"/>
    <w:rPr>
      <w:rFonts w:cs="Tahoma"/>
      <w:szCs w:val="16"/>
    </w:rPr>
  </w:style>
  <w:style w:type="character" w:customStyle="1" w:styleId="BalloonTextChar">
    <w:name w:val="Balloon Text Char"/>
    <w:basedOn w:val="DefaultParagraphFont"/>
    <w:link w:val="BalloonText"/>
    <w:uiPriority w:val="99"/>
    <w:rsid w:val="00082D3E"/>
    <w:rPr>
      <w:rFonts w:cs="Tahoma"/>
      <w:szCs w:val="16"/>
    </w:rPr>
  </w:style>
  <w:style w:type="paragraph" w:styleId="NormalWeb">
    <w:name w:val="Normal (Web)"/>
    <w:basedOn w:val="Normal"/>
    <w:next w:val="Normal"/>
    <w:semiHidden/>
    <w:locked/>
    <w:rsid w:val="00082D3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82D3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82D3E"/>
    <w:rPr>
      <w:rFonts w:cs="Times New Roman"/>
    </w:rPr>
  </w:style>
  <w:style w:type="paragraph" w:styleId="Header">
    <w:name w:val="header"/>
    <w:basedOn w:val="Normal"/>
    <w:link w:val="HeaderChar"/>
    <w:unhideWhenUsed/>
    <w:locked/>
    <w:rsid w:val="00082D3E"/>
    <w:pPr>
      <w:tabs>
        <w:tab w:val="center" w:pos="4680"/>
        <w:tab w:val="right" w:pos="9360"/>
      </w:tabs>
    </w:pPr>
  </w:style>
  <w:style w:type="character" w:customStyle="1" w:styleId="HeaderChar">
    <w:name w:val="Header Char"/>
    <w:basedOn w:val="DefaultParagraphFont"/>
    <w:link w:val="Header"/>
    <w:rsid w:val="00082D3E"/>
  </w:style>
  <w:style w:type="character" w:styleId="LineNumber">
    <w:name w:val="line number"/>
    <w:basedOn w:val="DefaultParagraphFont"/>
    <w:uiPriority w:val="99"/>
    <w:semiHidden/>
    <w:unhideWhenUsed/>
    <w:locked/>
    <w:rsid w:val="00082D3E"/>
  </w:style>
  <w:style w:type="character" w:styleId="Hyperlink">
    <w:name w:val="Hyperlink"/>
    <w:basedOn w:val="DefaultParagraphFont"/>
    <w:uiPriority w:val="99"/>
    <w:unhideWhenUsed/>
    <w:locked/>
    <w:rsid w:val="00082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6-09.docx" TargetMode="External"/><Relationship Id="rId13" Type="http://schemas.openxmlformats.org/officeDocument/2006/relationships/hyperlink" Target="file:///p:\pprever\2009-10\110_20081210.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hyperlink" Target="file:///h:\HJ%20Archive\2009\03-09-0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HJ%20Archive\2009\03-09-09.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09\03-05-09.docx" TargetMode="External"/><Relationship Id="rId4" Type="http://schemas.openxmlformats.org/officeDocument/2006/relationships/footnotes" Target="footnotes.xml"/><Relationship Id="rId9" Type="http://schemas.openxmlformats.org/officeDocument/2006/relationships/hyperlink" Target="file:///h:\SJ%20Archive\2009\03-04-09.docx" TargetMode="External"/><Relationship Id="rId14" Type="http://schemas.openxmlformats.org/officeDocument/2006/relationships/hyperlink" Target="file:///p:\pprever\2009-10\110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808</Words>
  <Characters>4166</Characters>
  <Application>Microsoft Office Word</Application>
  <DocSecurity>0</DocSecurity>
  <Lines>145</Lines>
  <Paragraphs>58</Paragraphs>
  <ScaleCrop>false</ScaleCrop>
  <Company>Project Management</Company>
  <LinksUpToDate>false</LinksUpToDate>
  <CharactersWithSpaces>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110: Education Lottery Act - South Carolina Legislature Online</dc:title>
  <dc:subject/>
  <dc:creator>NSC</dc:creator>
  <cp:keywords/>
  <dc:description/>
  <cp:lastModifiedBy>N Cumfer</cp:lastModifiedBy>
  <cp:revision>14</cp:revision>
  <dcterms:created xsi:type="dcterms:W3CDTF">2009-02-26T23:42:00Z</dcterms:created>
  <dcterms:modified xsi:type="dcterms:W3CDTF">2014-11-24T14:53:00Z</dcterms:modified>
</cp:coreProperties>
</file>