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91F" w:rsidRDefault="00786199">
      <w:pPr>
        <w:widowControl w:val="0"/>
        <w:jc w:val="center"/>
        <w:rPr>
          <w:rFonts w:cs="Times New Roman"/>
        </w:rPr>
      </w:pPr>
      <w:bookmarkStart w:id="0" w:name="_GoBack"/>
      <w:bookmarkEnd w:id="0"/>
      <w:r>
        <w:rPr>
          <w:rFonts w:cs="Times New Roman"/>
          <w:b/>
        </w:rPr>
        <w:t>South Carolina General Assembly</w:t>
      </w:r>
    </w:p>
    <w:p w:rsidR="0002491F" w:rsidRDefault="00786199">
      <w:pPr>
        <w:widowControl w:val="0"/>
        <w:jc w:val="center"/>
        <w:rPr>
          <w:rFonts w:cs="Times New Roman"/>
        </w:rPr>
      </w:pPr>
      <w:r>
        <w:rPr>
          <w:rFonts w:cs="Times New Roman"/>
        </w:rPr>
        <w:t>118th Session, 2009-2010</w:t>
      </w:r>
    </w:p>
    <w:p w:rsidR="0002491F" w:rsidRDefault="0002491F">
      <w:pPr>
        <w:widowControl w:val="0"/>
        <w:jc w:val="left"/>
        <w:rPr>
          <w:rFonts w:cs="Times New Roman"/>
        </w:rPr>
      </w:pPr>
    </w:p>
    <w:p w:rsidR="0002491F" w:rsidRDefault="00786199">
      <w:pPr>
        <w:widowControl w:val="0"/>
        <w:jc w:val="left"/>
        <w:rPr>
          <w:rFonts w:cs="Times New Roman"/>
          <w:b/>
        </w:rPr>
      </w:pPr>
      <w:r>
        <w:rPr>
          <w:rFonts w:cs="Times New Roman"/>
          <w:b/>
        </w:rPr>
        <w:t>S. 148</w:t>
      </w:r>
    </w:p>
    <w:p w:rsidR="0002491F" w:rsidRDefault="0002491F">
      <w:pPr>
        <w:widowControl w:val="0"/>
        <w:jc w:val="left"/>
        <w:rPr>
          <w:rFonts w:cs="Times New Roman"/>
          <w:b/>
        </w:rPr>
      </w:pPr>
    </w:p>
    <w:p w:rsidR="0002491F" w:rsidRDefault="00786199">
      <w:pPr>
        <w:widowControl w:val="0"/>
        <w:jc w:val="left"/>
        <w:rPr>
          <w:rFonts w:cs="Times New Roman"/>
        </w:rPr>
      </w:pPr>
      <w:r>
        <w:rPr>
          <w:rFonts w:cs="Times New Roman"/>
          <w:b/>
        </w:rPr>
        <w:t>STATUS INFORMATION</w:t>
      </w:r>
    </w:p>
    <w:p w:rsidR="0002491F" w:rsidRDefault="0002491F">
      <w:pPr>
        <w:widowControl w:val="0"/>
        <w:jc w:val="left"/>
        <w:rPr>
          <w:rFonts w:cs="Times New Roman"/>
        </w:rPr>
      </w:pPr>
    </w:p>
    <w:p w:rsidR="0002491F" w:rsidRDefault="00786199">
      <w:pPr>
        <w:widowControl w:val="0"/>
        <w:jc w:val="left"/>
        <w:rPr>
          <w:rFonts w:cs="Times New Roman"/>
        </w:rPr>
      </w:pPr>
      <w:r>
        <w:rPr>
          <w:rFonts w:cs="Times New Roman"/>
        </w:rPr>
        <w:t>General Bill</w:t>
      </w:r>
    </w:p>
    <w:p w:rsidR="0002491F" w:rsidRDefault="00786199">
      <w:pPr>
        <w:widowControl w:val="0"/>
        <w:jc w:val="left"/>
        <w:rPr>
          <w:rFonts w:cs="Times New Roman"/>
        </w:rPr>
      </w:pPr>
      <w:r>
        <w:rPr>
          <w:rFonts w:cs="Times New Roman"/>
        </w:rPr>
        <w:t>Sponsors: Senators Campsen and Sheheen</w:t>
      </w:r>
    </w:p>
    <w:p w:rsidR="0002491F" w:rsidRDefault="00786199">
      <w:pPr>
        <w:widowControl w:val="0"/>
        <w:jc w:val="left"/>
        <w:rPr>
          <w:rFonts w:cs="Times New Roman"/>
        </w:rPr>
      </w:pPr>
      <w:r>
        <w:rPr>
          <w:rFonts w:cs="Times New Roman"/>
        </w:rPr>
        <w:t>Document Path: l:\s-res\gec\016bank.mrh.gec.docx</w:t>
      </w:r>
    </w:p>
    <w:p w:rsidR="0002491F" w:rsidRDefault="0002491F">
      <w:pPr>
        <w:widowControl w:val="0"/>
        <w:jc w:val="left"/>
        <w:rPr>
          <w:rFonts w:cs="Times New Roman"/>
        </w:rPr>
      </w:pPr>
    </w:p>
    <w:p w:rsidR="0002491F" w:rsidRDefault="00786199">
      <w:pPr>
        <w:widowControl w:val="0"/>
        <w:jc w:val="left"/>
        <w:rPr>
          <w:rFonts w:cs="Times New Roman"/>
        </w:rPr>
      </w:pPr>
      <w:r>
        <w:rPr>
          <w:rFonts w:cs="Times New Roman"/>
        </w:rPr>
        <w:t>Introduced in the Senate on January 13, 2009</w:t>
      </w:r>
    </w:p>
    <w:p w:rsidR="0002491F" w:rsidRDefault="00786199">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02491F" w:rsidRDefault="0002491F">
      <w:pPr>
        <w:widowControl w:val="0"/>
        <w:jc w:val="left"/>
        <w:rPr>
          <w:rFonts w:cs="Times New Roman"/>
        </w:rPr>
      </w:pPr>
    </w:p>
    <w:p w:rsidR="0002491F" w:rsidRDefault="00786199">
      <w:pPr>
        <w:widowControl w:val="0"/>
        <w:jc w:val="left"/>
        <w:rPr>
          <w:rFonts w:cs="Times New Roman"/>
        </w:rPr>
      </w:pPr>
      <w:r>
        <w:rPr>
          <w:rFonts w:cs="Times New Roman"/>
        </w:rPr>
        <w:t>Summary: S.C. Conservation Bank Equitable Funding Act</w:t>
      </w:r>
    </w:p>
    <w:p w:rsidR="0002491F" w:rsidRDefault="0002491F">
      <w:pPr>
        <w:widowControl w:val="0"/>
        <w:jc w:val="left"/>
        <w:rPr>
          <w:rFonts w:cs="Times New Roman"/>
        </w:rPr>
      </w:pPr>
    </w:p>
    <w:p w:rsidR="0002491F" w:rsidRDefault="0002491F">
      <w:pPr>
        <w:widowControl w:val="0"/>
        <w:jc w:val="left"/>
        <w:rPr>
          <w:rFonts w:cs="Times New Roman"/>
        </w:rPr>
      </w:pPr>
    </w:p>
    <w:p w:rsidR="0002491F" w:rsidRDefault="00786199">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02491F" w:rsidRDefault="0002491F">
      <w:pPr>
        <w:widowControl w:val="0"/>
        <w:tabs>
          <w:tab w:val="center" w:pos="590"/>
          <w:tab w:val="center" w:pos="1440"/>
          <w:tab w:val="left" w:pos="1872"/>
          <w:tab w:val="left" w:pos="9187"/>
        </w:tabs>
        <w:jc w:val="left"/>
        <w:rPr>
          <w:rFonts w:cs="Times New Roman"/>
        </w:rPr>
      </w:pPr>
    </w:p>
    <w:p w:rsidR="0002491F" w:rsidRDefault="00786199">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02491F" w:rsidRDefault="007861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02491F" w:rsidRDefault="00786199">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Agriculture and Natural Resources</w:t>
      </w:r>
    </w:p>
    <w:p w:rsidR="0002491F" w:rsidRDefault="007861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D346E2">
          <w:rPr>
            <w:rStyle w:val="Hyperlink"/>
            <w:rFonts w:cs="Times New Roman"/>
          </w:rPr>
          <w:t>SJ</w:t>
        </w:r>
      </w:hyperlink>
      <w:r>
        <w:rPr>
          <w:rFonts w:cs="Times New Roman"/>
        </w:rPr>
        <w:noBreakHyphen/>
        <w:t>142</w:t>
      </w:r>
    </w:p>
    <w:p w:rsidR="0002491F" w:rsidRDefault="00786199">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D346E2">
          <w:rPr>
            <w:rStyle w:val="Hyperlink"/>
            <w:rFonts w:cs="Times New Roman"/>
          </w:rPr>
          <w:t>SJ</w:t>
        </w:r>
      </w:hyperlink>
      <w:r>
        <w:rPr>
          <w:rFonts w:cs="Times New Roman"/>
        </w:rPr>
        <w:noBreakHyphen/>
        <w:t>142</w:t>
      </w:r>
    </w:p>
    <w:p w:rsidR="0002491F" w:rsidRDefault="0002491F">
      <w:pPr>
        <w:widowControl w:val="0"/>
        <w:tabs>
          <w:tab w:val="right" w:pos="1008"/>
          <w:tab w:val="left" w:pos="1152"/>
          <w:tab w:val="left" w:pos="1872"/>
          <w:tab w:val="left" w:pos="9187"/>
        </w:tabs>
        <w:ind w:left="2088" w:hanging="2088"/>
        <w:jc w:val="left"/>
        <w:rPr>
          <w:rFonts w:cs="Times New Roman"/>
        </w:rPr>
      </w:pPr>
    </w:p>
    <w:p w:rsidR="0002491F" w:rsidRDefault="0002491F">
      <w:pPr>
        <w:widowControl w:val="0"/>
        <w:tabs>
          <w:tab w:val="right" w:pos="1008"/>
          <w:tab w:val="left" w:pos="1152"/>
          <w:tab w:val="left" w:pos="1872"/>
          <w:tab w:val="left" w:pos="9187"/>
        </w:tabs>
        <w:ind w:left="2088" w:hanging="2088"/>
        <w:jc w:val="left"/>
        <w:rPr>
          <w:rFonts w:cs="Times New Roman"/>
        </w:rPr>
      </w:pPr>
    </w:p>
    <w:p w:rsidR="0002491F" w:rsidRDefault="00786199">
      <w:pPr>
        <w:widowControl w:val="0"/>
        <w:jc w:val="left"/>
        <w:rPr>
          <w:rFonts w:cs="Times New Roman"/>
        </w:rPr>
      </w:pPr>
      <w:r>
        <w:rPr>
          <w:rFonts w:cs="Times New Roman"/>
          <w:b/>
        </w:rPr>
        <w:t>VERSIONS OF THIS BILL</w:t>
      </w:r>
    </w:p>
    <w:p w:rsidR="0002491F" w:rsidRDefault="0002491F">
      <w:pPr>
        <w:widowControl w:val="0"/>
        <w:jc w:val="left"/>
        <w:rPr>
          <w:rFonts w:cs="Times New Roman"/>
        </w:rPr>
      </w:pPr>
    </w:p>
    <w:p w:rsidR="0002491F" w:rsidRDefault="00DD036D">
      <w:pPr>
        <w:widowControl w:val="0"/>
        <w:jc w:val="left"/>
        <w:rPr>
          <w:rFonts w:cs="Times New Roman"/>
        </w:rPr>
      </w:pPr>
      <w:hyperlink r:id="rId8" w:history="1">
        <w:r w:rsidR="00786199">
          <w:rPr>
            <w:rStyle w:val="Hyperlink"/>
            <w:rFonts w:cs="Times New Roman"/>
          </w:rPr>
          <w:t>12/10/2008</w:t>
        </w:r>
      </w:hyperlink>
    </w:p>
    <w:p w:rsidR="0002491F" w:rsidRDefault="0002491F"/>
    <w:p w:rsidR="0002491F" w:rsidRDefault="0002491F">
      <w:pPr>
        <w:sectPr w:rsidR="0002491F">
          <w:pgSz w:w="12240" w:h="15840" w:code="1"/>
          <w:pgMar w:top="1080" w:right="1440" w:bottom="1080" w:left="1440" w:header="720" w:footer="720" w:gutter="0"/>
          <w:cols w:space="720"/>
          <w:noEndnote/>
          <w:docGrid w:linePitch="360"/>
        </w:sect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s="Times New Roman"/>
        </w:rPr>
      </w:pPr>
      <w:bookmarkStart w:id="3" w:name="titletop"/>
      <w:bookmarkEnd w:id="3"/>
      <w:r>
        <w:rPr>
          <w:rFonts w:eastAsia="Calibri" w:cs="Times New Roman"/>
        </w:rPr>
        <w:t>TO PROVIDE FOR THE “SOUTH CAROLINA CONSERVATION BANK EQUITABLE FUNDING ACT” BY AMENDING SECTION 48</w:t>
      </w:r>
      <w:r>
        <w:rPr>
          <w:rFonts w:eastAsia="Calibri" w:cs="Times New Roman"/>
        </w:rPr>
        <w:noBreakHyphen/>
        <w:t>59</w:t>
      </w:r>
      <w:r>
        <w:rPr>
          <w:rFonts w:eastAsia="Calibri" w:cs="Times New Roman"/>
        </w:rPr>
        <w:noBreakHyphen/>
        <w:t>75 OF THE 1976 CODE, RELATING TO THE SUSPENSION OF FUNDING PROVISION FOR THE SOUTH CAROLINA CONSERVATION BANK, TO DELETE THE PROVISION SUSPENDING TRANSFERS TO THE TRUST FUND AND TO PROVIDE INSTEAD THAT THE AMOUNT OF DEED RECORDING FEES TRANSFERRED TO THE TRUST FUND MUST BE REDUCED IN FISCAL YEARS WHEN APPROPRIATIONS TO MORE THAN ONE</w:t>
      </w:r>
      <w:r>
        <w:rPr>
          <w:rFonts w:eastAsia="Calibri" w:cs="Times New Roman"/>
        </w:rPr>
        <w:noBreakHyphen/>
        <w:t>HALF OF STATE AGENCIES AND DEPARTMENTS ARE LESS THAN SUCH APPROPRIATIONS IN THE PRIOR FISCAL YEAR BY THE AGGREGATE PERCENTAGE OF DECREASE IN APPROPRIATIONS AND IN A FISCAL YEAR WHEN ACROSS THE BOARD APPROPRIATIONS REDUCTIONS ARE ORDERED BY THE STATE BUDGET AND CONTROL BOARD, THE AMOUNT OF DEED RECORDING FEES TRANSFERRED TO THE TRUST FUND MUST BE THE LESSER OF THE AMOUNT OF FEES LESS THE PERCENTAGE REDUCTION OR THE AMOUNT OF FEES PROJECTED TO BE COLLECTED.</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This act may be cited as the “South Carolina Conservation Bank Equitable Funding Act”.</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Section 48</w:t>
      </w:r>
      <w:r>
        <w:rPr>
          <w:rFonts w:eastAsia="Times New Roman" w:cs="Times New Roman"/>
        </w:rPr>
        <w:noBreakHyphen/>
        <w:t>59</w:t>
      </w:r>
      <w:r>
        <w:rPr>
          <w:rFonts w:eastAsia="Times New Roman" w:cs="Times New Roman"/>
        </w:rPr>
        <w:noBreakHyphen/>
        <w:t>75 of the 1976 Code is amended to read:</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eastAsia="Times New Roman" w:cs="Times New Roman"/>
        </w:rPr>
        <w:lastRenderedPageBreak/>
        <w:tab/>
        <w:t>“Section 48</w:t>
      </w:r>
      <w:r>
        <w:rPr>
          <w:rFonts w:eastAsia="Times New Roman" w:cs="Times New Roman"/>
        </w:rPr>
        <w:noBreakHyphen/>
        <w:t>59</w:t>
      </w:r>
      <w:r>
        <w:rPr>
          <w:rFonts w:eastAsia="Times New Roman" w:cs="Times New Roman"/>
        </w:rPr>
        <w:noBreakHyphen/>
        <w:t>75.</w:t>
      </w:r>
      <w:r>
        <w:rPr>
          <w:rFonts w:eastAsia="Times New Roman" w:cs="Times New Roman"/>
        </w:rPr>
        <w:tab/>
      </w:r>
      <w:r>
        <w:rPr>
          <w:rFonts w:eastAsia="Times New Roman" w:cs="Times New Roman"/>
        </w:rPr>
        <w:tab/>
      </w:r>
      <w:r>
        <w:rPr>
          <w:rFonts w:eastAsia="Times New Roman" w:cs="Times New Roman"/>
          <w:u w:val="single"/>
        </w:rPr>
        <w:t>(A)</w:t>
      </w:r>
      <w:r>
        <w:rPr>
          <w:rFonts w:eastAsia="Times New Roman" w:cs="Times New Roman"/>
        </w:rPr>
        <w:tab/>
      </w:r>
      <w:r>
        <w:rPr>
          <w:rFonts w:cs="Times New Roman"/>
        </w:rPr>
        <w:t>In a fiscal year when the General Assembly in the annual general appropriations act provides less appropriations than what was provided for the previous year to at least one</w:t>
      </w:r>
      <w:r>
        <w:rPr>
          <w:rFonts w:cs="Times New Roman"/>
        </w:rPr>
        <w:noBreakHyphen/>
        <w:t xml:space="preserve">half of the state agencies or departments contained </w:t>
      </w:r>
      <w:r>
        <w:rPr>
          <w:rFonts w:cs="Times New Roman"/>
          <w:strike/>
        </w:rPr>
        <w:t>therein</w:t>
      </w:r>
      <w:r>
        <w:rPr>
          <w:rFonts w:cs="Times New Roman"/>
        </w:rPr>
        <w:t xml:space="preserve"> </w:t>
      </w:r>
      <w:r>
        <w:rPr>
          <w:rFonts w:cs="Times New Roman"/>
          <w:u w:val="single"/>
        </w:rPr>
        <w:t>in</w:t>
      </w:r>
      <w:r>
        <w:rPr>
          <w:rFonts w:cs="Times New Roman"/>
        </w:rPr>
        <w:t xml:space="preserve"> the act</w:t>
      </w:r>
      <w:r>
        <w:rPr>
          <w:rFonts w:cs="Times New Roman"/>
          <w:u w:val="single"/>
        </w:rPr>
        <w:t>, the amount of deed recording fees transferred to the trust fund must be reduced by the percentage decrease in total appropriations to those agencies receiving a decrease</w:t>
      </w:r>
      <w:r>
        <w:rPr>
          <w:rFonts w:cs="Times New Roman"/>
        </w:rPr>
        <w:t xml:space="preserve">. </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u w:val="single"/>
        </w:rPr>
        <w:t>(B)</w:t>
      </w:r>
      <w:r>
        <w:rPr>
          <w:rFonts w:cs="Times New Roman"/>
        </w:rPr>
        <w:tab/>
      </w:r>
      <w:r>
        <w:rPr>
          <w:rFonts w:cs="Times New Roman"/>
          <w:u w:val="single"/>
        </w:rPr>
        <w:t>In a fiscal year,</w:t>
      </w:r>
      <w:r>
        <w:rPr>
          <w:rFonts w:cs="Times New Roman"/>
        </w:rPr>
        <w:t xml:space="preserve"> </w:t>
      </w:r>
      <w:r>
        <w:rPr>
          <w:rFonts w:cs="Times New Roman"/>
          <w:strike/>
        </w:rPr>
        <w:t>or in any year</w:t>
      </w:r>
      <w:r>
        <w:rPr>
          <w:rFonts w:cs="Times New Roman"/>
        </w:rPr>
        <w:t xml:space="preserve"> when the Budget and Control Board orders across the board cuts to state agencies and departments in the manner provided by law, </w:t>
      </w:r>
      <w:r>
        <w:rPr>
          <w:rFonts w:cs="Times New Roman"/>
          <w:strike/>
        </w:rPr>
        <w:t>no further transfer of deed recording fees or other appropriated funds, state or local, may be credited to the trust fund for the fiscal year or balance of the fiscal year, but existing balances in the trust fund may be used as provided by Chapter 59 of Title 48 of the 1976 Code</w:t>
      </w:r>
      <w:r>
        <w:rPr>
          <w:rFonts w:cs="Times New Roman"/>
        </w:rPr>
        <w:t xml:space="preserve"> </w:t>
      </w:r>
      <w:r>
        <w:rPr>
          <w:rFonts w:cs="Times New Roman"/>
          <w:u w:val="single"/>
        </w:rPr>
        <w:t>the amount of deed recording fees transferred to the trust fund for the remainder of the fiscal year must be the lesser of:</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rPr>
      </w:pPr>
      <w:r>
        <w:rPr>
          <w:rFonts w:cs="Times New Roman"/>
        </w:rPr>
        <w:tab/>
      </w:r>
      <w:r>
        <w:rPr>
          <w:rFonts w:cs="Times New Roman"/>
        </w:rPr>
        <w:tab/>
      </w:r>
      <w:r>
        <w:rPr>
          <w:rFonts w:cs="Times New Roman"/>
          <w:u w:val="single"/>
        </w:rPr>
        <w:t>(1)</w:t>
      </w:r>
      <w:r>
        <w:rPr>
          <w:rFonts w:cs="Times New Roman"/>
        </w:rPr>
        <w:tab/>
      </w:r>
      <w:r>
        <w:rPr>
          <w:rFonts w:cs="Times New Roman"/>
          <w:u w:val="single"/>
        </w:rPr>
        <w:t>the amount of deed recording fees to be collected reduced by the aggregate percentage of mid</w:t>
      </w:r>
      <w:r>
        <w:rPr>
          <w:rFonts w:cs="Times New Roman"/>
          <w:u w:val="single"/>
        </w:rPr>
        <w:noBreakHyphen/>
        <w:t>year budget cuts; or</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cs="Times New Roman"/>
        </w:rPr>
        <w:tab/>
      </w:r>
      <w:r>
        <w:rPr>
          <w:rFonts w:cs="Times New Roman"/>
        </w:rPr>
        <w:tab/>
      </w:r>
      <w:r>
        <w:rPr>
          <w:rFonts w:cs="Times New Roman"/>
          <w:u w:val="single"/>
        </w:rPr>
        <w:t>(2)</w:t>
      </w:r>
      <w:r>
        <w:rPr>
          <w:rFonts w:cs="Times New Roman"/>
        </w:rPr>
        <w:tab/>
      </w:r>
      <w:r>
        <w:rPr>
          <w:rFonts w:cs="Times New Roman"/>
          <w:u w:val="single"/>
        </w:rPr>
        <w:t>the actual amount of deed recording fees to be collected, if the projected amount of deed transfer fees to be collected for the remainder of the fiscal year has been adjusted downward by the Bureau of Economic Advisors by a greater percentage than the aggregate percentage of decrease in overall state revenue triggering the across the board cuts</w:t>
      </w:r>
      <w:r>
        <w:rPr>
          <w:rFonts w:cs="Times New Roman"/>
        </w:rPr>
        <w:t>.</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u w:val="single"/>
        </w:rPr>
      </w:pPr>
      <w:r>
        <w:rPr>
          <w:rFonts w:eastAsia="Times New Roman" w:cs="Times New Roman"/>
        </w:rPr>
        <w:tab/>
      </w:r>
      <w:r>
        <w:rPr>
          <w:rFonts w:eastAsia="Times New Roman" w:cs="Times New Roman"/>
          <w:u w:val="single"/>
        </w:rPr>
        <w:t>Any amount of reduction required by this subsection must be in addition to any reduction required by subsection (A).</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u w:val="single"/>
        </w:rPr>
        <w:t>(C)</w:t>
      </w:r>
      <w:r>
        <w:rPr>
          <w:rFonts w:eastAsia="Times New Roman" w:cs="Times New Roman"/>
        </w:rPr>
        <w:tab/>
      </w:r>
      <w:r>
        <w:rPr>
          <w:rFonts w:eastAsia="Times New Roman" w:cs="Times New Roman"/>
          <w:u w:val="single"/>
        </w:rPr>
        <w:t>Any amount of deed recording fees collected above any reduced amount to be transferred as required by this section must be remitted to the general fund and used to offset any revenue shortfall</w:t>
      </w:r>
      <w:r>
        <w:rPr>
          <w:rFonts w:eastAsia="Times New Roman" w:cs="Times New Roman"/>
        </w:rPr>
        <w:t>.”</w:t>
      </w:r>
    </w:p>
    <w:p w:rsidR="0002491F" w:rsidRDefault="00024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02491F" w:rsidRDefault="00786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02491F" w:rsidSect="0002491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491F" w:rsidRDefault="00786199">
      <w:r>
        <w:separator/>
      </w:r>
    </w:p>
  </w:endnote>
  <w:endnote w:type="continuationSeparator" w:id="0">
    <w:p w:rsidR="0002491F" w:rsidRDefault="00786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80BF69-6C92-4790-B799-8009C4F469B7}"/>
    <w:embedBold r:id="rId2" w:fontKey="{C99C254D-682F-42E1-905A-9EB2DB00644D}"/>
  </w:font>
  <w:font w:name="Calibri">
    <w:panose1 w:val="020F0502020204030204"/>
    <w:charset w:val="00"/>
    <w:family w:val="swiss"/>
    <w:pitch w:val="variable"/>
    <w:sig w:usb0="E10002FF" w:usb1="4000ACFF" w:usb2="00000009" w:usb3="00000000" w:csb0="0000019F" w:csb1="00000000"/>
    <w:embedRegular r:id="rId3" w:fontKey="{60DBA2D2-2567-475C-A537-F1969B164E0C}"/>
    <w:embedBold r:id="rId4" w:fontKey="{773EE699-32A3-402D-A62A-0B4E75F47331}"/>
  </w:font>
  <w:font w:name="Tahoma">
    <w:panose1 w:val="020B0604030504040204"/>
    <w:charset w:val="00"/>
    <w:family w:val="swiss"/>
    <w:pitch w:val="variable"/>
    <w:sig w:usb0="21002A87" w:usb1="80000000" w:usb2="00000008" w:usb3="00000000" w:csb0="000101FF" w:csb1="00000000"/>
    <w:embedRegular r:id="rId5" w:fontKey="{F1806733-E922-4DEE-B4CE-8C161E66256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AD279794-B755-4023-BA7B-9E7E1E554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91F" w:rsidRDefault="00786199">
    <w:pPr>
      <w:pStyle w:val="Footer"/>
      <w:tabs>
        <w:tab w:val="clear" w:pos="4680"/>
        <w:tab w:val="clear" w:pos="9360"/>
        <w:tab w:val="center" w:pos="2995"/>
      </w:tabs>
      <w:spacing w:before="120"/>
    </w:pPr>
    <w:r>
      <w:t>[148]</w:t>
    </w:r>
    <w:r>
      <w:tab/>
    </w:r>
    <w:r w:rsidR="00DD036D">
      <w:fldChar w:fldCharType="begin"/>
    </w:r>
    <w:r w:rsidR="00DD036D">
      <w:instrText xml:space="preserve"> PAGE  \* MERGEFORMAT </w:instrText>
    </w:r>
    <w:r w:rsidR="00DD036D">
      <w:fldChar w:fldCharType="separate"/>
    </w:r>
    <w:r w:rsidR="00DD036D">
      <w:rPr>
        <w:noProof/>
      </w:rPr>
      <w:t>1</w:t>
    </w:r>
    <w:r w:rsidR="00DD03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491F" w:rsidRDefault="00786199">
      <w:r>
        <w:separator/>
      </w:r>
    </w:p>
  </w:footnote>
  <w:footnote w:type="continuationSeparator" w:id="0">
    <w:p w:rsidR="0002491F" w:rsidRDefault="007861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02491F"/>
    <w:rsid w:val="0002491F"/>
    <w:rsid w:val="003D49F5"/>
    <w:rsid w:val="006834C1"/>
    <w:rsid w:val="00786199"/>
    <w:rsid w:val="008F6D76"/>
    <w:rsid w:val="00D346E2"/>
    <w:rsid w:val="00DD0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AF7241-DAAA-443E-86C1-58C1F65DD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491F"/>
    <w:rPr>
      <w:szCs w:val="21"/>
    </w:rPr>
  </w:style>
  <w:style w:type="character" w:customStyle="1" w:styleId="PlainTextChar">
    <w:name w:val="Plain Text Char"/>
    <w:basedOn w:val="DefaultParagraphFont"/>
    <w:link w:val="PlainText"/>
    <w:uiPriority w:val="99"/>
    <w:rsid w:val="0002491F"/>
    <w:rPr>
      <w:szCs w:val="21"/>
    </w:rPr>
  </w:style>
  <w:style w:type="paragraph" w:styleId="BodyText">
    <w:name w:val="Body Text"/>
    <w:basedOn w:val="Normal"/>
    <w:link w:val="BodyTextChar"/>
    <w:uiPriority w:val="99"/>
    <w:locked/>
    <w:rsid w:val="0002491F"/>
  </w:style>
  <w:style w:type="character" w:customStyle="1" w:styleId="BodyTextChar">
    <w:name w:val="Body Text Char"/>
    <w:basedOn w:val="DefaultParagraphFont"/>
    <w:link w:val="BodyText"/>
    <w:uiPriority w:val="99"/>
    <w:rsid w:val="0002491F"/>
  </w:style>
  <w:style w:type="paragraph" w:styleId="BalloonText">
    <w:name w:val="Balloon Text"/>
    <w:next w:val="Normal"/>
    <w:link w:val="BalloonTextChar"/>
    <w:uiPriority w:val="99"/>
    <w:unhideWhenUsed/>
    <w:rsid w:val="0002491F"/>
    <w:rPr>
      <w:rFonts w:cs="Tahoma"/>
      <w:szCs w:val="16"/>
    </w:rPr>
  </w:style>
  <w:style w:type="character" w:customStyle="1" w:styleId="BalloonTextChar">
    <w:name w:val="Balloon Text Char"/>
    <w:basedOn w:val="DefaultParagraphFont"/>
    <w:link w:val="BalloonText"/>
    <w:uiPriority w:val="99"/>
    <w:rsid w:val="0002491F"/>
    <w:rPr>
      <w:rFonts w:cs="Tahoma"/>
      <w:szCs w:val="16"/>
    </w:rPr>
  </w:style>
  <w:style w:type="paragraph" w:styleId="NormalWeb">
    <w:name w:val="Normal (Web)"/>
    <w:basedOn w:val="Normal"/>
    <w:next w:val="Normal"/>
    <w:semiHidden/>
    <w:locked/>
    <w:rsid w:val="0002491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02491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02491F"/>
    <w:rPr>
      <w:rFonts w:cs="Times New Roman"/>
    </w:rPr>
  </w:style>
  <w:style w:type="paragraph" w:styleId="Header">
    <w:name w:val="header"/>
    <w:basedOn w:val="Normal"/>
    <w:link w:val="HeaderChar"/>
    <w:uiPriority w:val="99"/>
    <w:semiHidden/>
    <w:unhideWhenUsed/>
    <w:locked/>
    <w:rsid w:val="0002491F"/>
    <w:pPr>
      <w:tabs>
        <w:tab w:val="center" w:pos="4680"/>
        <w:tab w:val="right" w:pos="9360"/>
      </w:tabs>
    </w:pPr>
  </w:style>
  <w:style w:type="character" w:customStyle="1" w:styleId="HeaderChar">
    <w:name w:val="Header Char"/>
    <w:basedOn w:val="DefaultParagraphFont"/>
    <w:link w:val="Header"/>
    <w:uiPriority w:val="99"/>
    <w:semiHidden/>
    <w:rsid w:val="0002491F"/>
  </w:style>
  <w:style w:type="character" w:styleId="LineNumber">
    <w:name w:val="line number"/>
    <w:basedOn w:val="DefaultParagraphFont"/>
    <w:uiPriority w:val="99"/>
    <w:semiHidden/>
    <w:unhideWhenUsed/>
    <w:locked/>
    <w:rsid w:val="0002491F"/>
  </w:style>
  <w:style w:type="character" w:styleId="Hyperlink">
    <w:name w:val="Hyperlink"/>
    <w:basedOn w:val="DefaultParagraphFont"/>
    <w:uiPriority w:val="99"/>
    <w:unhideWhenUsed/>
    <w:locked/>
    <w:rsid w:val="000249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8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607</Words>
  <Characters>3124</Characters>
  <Application>Microsoft Office Word</Application>
  <DocSecurity>0</DocSecurity>
  <Lines>105</Lines>
  <Paragraphs>31</Paragraphs>
  <ScaleCrop>false</ScaleCrop>
  <Company>Project Management</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 S.C. Conservation Bank Equitable Funding Act - South Carolina Legislature Online</dc:title>
  <dc:subject/>
  <dc:creator>NSC</dc:creator>
  <cp:keywords/>
  <dc:description/>
  <cp:lastModifiedBy>N Cumfer</cp:lastModifiedBy>
  <cp:revision>11</cp:revision>
  <dcterms:created xsi:type="dcterms:W3CDTF">2008-12-10T20:50:00Z</dcterms:created>
  <dcterms:modified xsi:type="dcterms:W3CDTF">2014-11-24T14:54:00Z</dcterms:modified>
</cp:coreProperties>
</file>