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02A" w:rsidRDefault="005D06D9">
      <w:pPr>
        <w:widowControl w:val="0"/>
        <w:jc w:val="center"/>
        <w:rPr>
          <w:rFonts w:cs="Times New Roman"/>
        </w:rPr>
      </w:pPr>
      <w:bookmarkStart w:id="0" w:name="_GoBack"/>
      <w:bookmarkEnd w:id="0"/>
      <w:r>
        <w:rPr>
          <w:rFonts w:cs="Times New Roman"/>
          <w:b/>
        </w:rPr>
        <w:t>South Carolina General Assembly</w:t>
      </w:r>
    </w:p>
    <w:p w:rsidR="0011102A" w:rsidRDefault="005D06D9">
      <w:pPr>
        <w:widowControl w:val="0"/>
        <w:jc w:val="center"/>
        <w:rPr>
          <w:rFonts w:cs="Times New Roman"/>
        </w:rPr>
      </w:pPr>
      <w:r>
        <w:rPr>
          <w:rFonts w:cs="Times New Roman"/>
        </w:rPr>
        <w:t>118th Session, 2009-2010</w:t>
      </w:r>
    </w:p>
    <w:p w:rsidR="0011102A" w:rsidRDefault="0011102A">
      <w:pPr>
        <w:widowControl w:val="0"/>
        <w:jc w:val="left"/>
        <w:rPr>
          <w:rFonts w:cs="Times New Roman"/>
        </w:rPr>
      </w:pPr>
    </w:p>
    <w:p w:rsidR="0011102A" w:rsidRDefault="005D06D9">
      <w:pPr>
        <w:widowControl w:val="0"/>
        <w:jc w:val="left"/>
        <w:rPr>
          <w:rFonts w:cs="Times New Roman"/>
          <w:b/>
        </w:rPr>
      </w:pPr>
      <w:r>
        <w:rPr>
          <w:rFonts w:cs="Times New Roman"/>
          <w:b/>
        </w:rPr>
        <w:t>S. 212</w:t>
      </w:r>
    </w:p>
    <w:p w:rsidR="0011102A" w:rsidRDefault="0011102A">
      <w:pPr>
        <w:widowControl w:val="0"/>
        <w:jc w:val="left"/>
        <w:rPr>
          <w:rFonts w:cs="Times New Roman"/>
          <w:b/>
        </w:rPr>
      </w:pPr>
    </w:p>
    <w:p w:rsidR="0011102A" w:rsidRDefault="005D06D9">
      <w:pPr>
        <w:widowControl w:val="0"/>
        <w:jc w:val="left"/>
        <w:rPr>
          <w:rFonts w:cs="Times New Roman"/>
        </w:rPr>
      </w:pPr>
      <w:r>
        <w:rPr>
          <w:rFonts w:cs="Times New Roman"/>
          <w:b/>
        </w:rPr>
        <w:t>STATUS INFORMATION</w:t>
      </w:r>
    </w:p>
    <w:p w:rsidR="0011102A" w:rsidRDefault="0011102A">
      <w:pPr>
        <w:widowControl w:val="0"/>
        <w:jc w:val="left"/>
        <w:rPr>
          <w:rFonts w:cs="Times New Roman"/>
        </w:rPr>
      </w:pPr>
    </w:p>
    <w:p w:rsidR="0011102A" w:rsidRDefault="005D06D9">
      <w:pPr>
        <w:widowControl w:val="0"/>
        <w:jc w:val="left"/>
        <w:rPr>
          <w:rFonts w:cs="Times New Roman"/>
        </w:rPr>
      </w:pPr>
      <w:r>
        <w:rPr>
          <w:rFonts w:cs="Times New Roman"/>
        </w:rPr>
        <w:t>General Bill</w:t>
      </w:r>
    </w:p>
    <w:p w:rsidR="0011102A" w:rsidRDefault="005D06D9">
      <w:pPr>
        <w:widowControl w:val="0"/>
        <w:jc w:val="left"/>
        <w:rPr>
          <w:rFonts w:cs="Times New Roman"/>
        </w:rPr>
      </w:pPr>
      <w:r>
        <w:rPr>
          <w:rFonts w:cs="Times New Roman"/>
        </w:rPr>
        <w:t>Sponsors: Senators Ryberg, Rose and Davis</w:t>
      </w:r>
    </w:p>
    <w:p w:rsidR="0011102A" w:rsidRDefault="005D06D9">
      <w:pPr>
        <w:widowControl w:val="0"/>
        <w:jc w:val="left"/>
        <w:rPr>
          <w:rFonts w:cs="Times New Roman"/>
        </w:rPr>
      </w:pPr>
      <w:r>
        <w:rPr>
          <w:rFonts w:cs="Times New Roman"/>
        </w:rPr>
        <w:t>Document Path: l:\s-financ\drafting\wgr\002reti.dag.wgr.docx</w:t>
      </w:r>
    </w:p>
    <w:p w:rsidR="0011102A" w:rsidRDefault="0011102A">
      <w:pPr>
        <w:widowControl w:val="0"/>
        <w:jc w:val="left"/>
        <w:rPr>
          <w:rFonts w:cs="Times New Roman"/>
        </w:rPr>
      </w:pPr>
    </w:p>
    <w:p w:rsidR="0011102A" w:rsidRDefault="005D06D9">
      <w:pPr>
        <w:widowControl w:val="0"/>
        <w:jc w:val="left"/>
        <w:rPr>
          <w:rFonts w:cs="Times New Roman"/>
        </w:rPr>
      </w:pPr>
      <w:r>
        <w:rPr>
          <w:rFonts w:cs="Times New Roman"/>
        </w:rPr>
        <w:t>Introduced in the Senate on January 13, 2009</w:t>
      </w:r>
    </w:p>
    <w:p w:rsidR="0011102A" w:rsidRDefault="005D06D9">
      <w:pPr>
        <w:widowControl w:val="0"/>
        <w:jc w:val="left"/>
        <w:rPr>
          <w:rFonts w:cs="Times New Roman"/>
        </w:rPr>
      </w:pPr>
      <w:r>
        <w:rPr>
          <w:rFonts w:cs="Times New Roman"/>
        </w:rPr>
        <w:t xml:space="preserve">Currently residing in the Senate Committee on </w:t>
      </w:r>
      <w:r>
        <w:rPr>
          <w:rFonts w:cs="Times New Roman"/>
          <w:b/>
        </w:rPr>
        <w:t>Finance</w:t>
      </w:r>
    </w:p>
    <w:p w:rsidR="0011102A" w:rsidRDefault="0011102A">
      <w:pPr>
        <w:widowControl w:val="0"/>
        <w:jc w:val="left"/>
        <w:rPr>
          <w:rFonts w:cs="Times New Roman"/>
        </w:rPr>
      </w:pPr>
    </w:p>
    <w:p w:rsidR="0011102A" w:rsidRDefault="005D06D9">
      <w:pPr>
        <w:widowControl w:val="0"/>
        <w:jc w:val="left"/>
        <w:rPr>
          <w:rFonts w:cs="Times New Roman"/>
        </w:rPr>
      </w:pPr>
      <w:r>
        <w:rPr>
          <w:rFonts w:cs="Times New Roman"/>
        </w:rPr>
        <w:t>Summary: Retirement system</w:t>
      </w:r>
    </w:p>
    <w:p w:rsidR="0011102A" w:rsidRDefault="0011102A">
      <w:pPr>
        <w:widowControl w:val="0"/>
        <w:jc w:val="left"/>
        <w:rPr>
          <w:rFonts w:cs="Times New Roman"/>
        </w:rPr>
      </w:pPr>
    </w:p>
    <w:p w:rsidR="0011102A" w:rsidRDefault="0011102A">
      <w:pPr>
        <w:widowControl w:val="0"/>
        <w:jc w:val="left"/>
        <w:rPr>
          <w:rFonts w:cs="Times New Roman"/>
        </w:rPr>
      </w:pPr>
    </w:p>
    <w:p w:rsidR="0011102A" w:rsidRDefault="005D06D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1102A" w:rsidRDefault="0011102A">
      <w:pPr>
        <w:widowControl w:val="0"/>
        <w:tabs>
          <w:tab w:val="center" w:pos="590"/>
          <w:tab w:val="center" w:pos="1440"/>
          <w:tab w:val="left" w:pos="1872"/>
          <w:tab w:val="left" w:pos="9187"/>
        </w:tabs>
        <w:jc w:val="left"/>
        <w:rPr>
          <w:rFonts w:cs="Times New Roman"/>
        </w:rPr>
      </w:pPr>
    </w:p>
    <w:p w:rsidR="0011102A" w:rsidRDefault="005D06D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1102A" w:rsidRDefault="005D06D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11102A" w:rsidRDefault="005D06D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11102A" w:rsidRDefault="005D06D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36E78">
          <w:rPr>
            <w:rStyle w:val="Hyperlink"/>
            <w:rFonts w:cs="Times New Roman"/>
          </w:rPr>
          <w:t>SJ</w:t>
        </w:r>
      </w:hyperlink>
      <w:r>
        <w:rPr>
          <w:rFonts w:cs="Times New Roman"/>
        </w:rPr>
        <w:noBreakHyphen/>
        <w:t>171</w:t>
      </w:r>
    </w:p>
    <w:p w:rsidR="0011102A" w:rsidRDefault="005D06D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936E78">
          <w:rPr>
            <w:rStyle w:val="Hyperlink"/>
            <w:rFonts w:cs="Times New Roman"/>
          </w:rPr>
          <w:t>SJ</w:t>
        </w:r>
      </w:hyperlink>
      <w:r>
        <w:rPr>
          <w:rFonts w:cs="Times New Roman"/>
        </w:rPr>
        <w:noBreakHyphen/>
        <w:t>171</w:t>
      </w:r>
    </w:p>
    <w:p w:rsidR="0011102A" w:rsidRDefault="005D06D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Alexander (ch), Setzler, Ryberg, Verdin, Leventis, Jackson</w:t>
      </w:r>
    </w:p>
    <w:p w:rsidR="0011102A" w:rsidRDefault="0011102A">
      <w:pPr>
        <w:widowControl w:val="0"/>
        <w:tabs>
          <w:tab w:val="right" w:pos="1008"/>
          <w:tab w:val="left" w:pos="1152"/>
          <w:tab w:val="left" w:pos="1872"/>
          <w:tab w:val="left" w:pos="9187"/>
        </w:tabs>
        <w:ind w:left="2088" w:hanging="2088"/>
        <w:jc w:val="left"/>
        <w:rPr>
          <w:rFonts w:cs="Times New Roman"/>
        </w:rPr>
      </w:pPr>
    </w:p>
    <w:p w:rsidR="0011102A" w:rsidRDefault="0011102A">
      <w:pPr>
        <w:widowControl w:val="0"/>
        <w:tabs>
          <w:tab w:val="right" w:pos="1008"/>
          <w:tab w:val="left" w:pos="1152"/>
          <w:tab w:val="left" w:pos="1872"/>
          <w:tab w:val="left" w:pos="9187"/>
        </w:tabs>
        <w:ind w:left="2088" w:hanging="2088"/>
        <w:jc w:val="left"/>
        <w:rPr>
          <w:rFonts w:cs="Times New Roman"/>
        </w:rPr>
      </w:pPr>
    </w:p>
    <w:p w:rsidR="0011102A" w:rsidRDefault="005D06D9">
      <w:pPr>
        <w:widowControl w:val="0"/>
        <w:jc w:val="left"/>
        <w:rPr>
          <w:rFonts w:cs="Times New Roman"/>
        </w:rPr>
      </w:pPr>
      <w:r>
        <w:rPr>
          <w:rFonts w:cs="Times New Roman"/>
          <w:b/>
        </w:rPr>
        <w:t>VERSIONS OF THIS BILL</w:t>
      </w:r>
    </w:p>
    <w:p w:rsidR="0011102A" w:rsidRDefault="0011102A">
      <w:pPr>
        <w:widowControl w:val="0"/>
        <w:jc w:val="left"/>
        <w:rPr>
          <w:rFonts w:cs="Times New Roman"/>
        </w:rPr>
      </w:pPr>
    </w:p>
    <w:p w:rsidR="0011102A" w:rsidRDefault="005D7F25">
      <w:pPr>
        <w:widowControl w:val="0"/>
        <w:jc w:val="left"/>
        <w:rPr>
          <w:rFonts w:cs="Times New Roman"/>
        </w:rPr>
      </w:pPr>
      <w:hyperlink r:id="rId8" w:history="1">
        <w:r w:rsidR="005D06D9">
          <w:rPr>
            <w:rStyle w:val="Hyperlink"/>
            <w:rFonts w:cs="Times New Roman"/>
          </w:rPr>
          <w:t>12/17/2008</w:t>
        </w:r>
      </w:hyperlink>
    </w:p>
    <w:p w:rsidR="0011102A" w:rsidRDefault="0011102A"/>
    <w:p w:rsidR="0011102A" w:rsidRDefault="0011102A">
      <w:pPr>
        <w:sectPr w:rsidR="0011102A">
          <w:pgSz w:w="12240" w:h="15840" w:code="1"/>
          <w:pgMar w:top="1080" w:right="1440" w:bottom="1080" w:left="1440" w:header="720" w:footer="720" w:gutter="0"/>
          <w:cols w:space="720"/>
          <w:noEndnote/>
          <w:docGrid w:linePitch="360"/>
        </w:sect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szCs w:val="20"/>
        </w:rPr>
        <w:t>TO AMEND SECTIONS 9</w:t>
      </w:r>
      <w:r>
        <w:rPr>
          <w:rFonts w:eastAsia="Times New Roman" w:cs="Times New Roman"/>
          <w:szCs w:val="20"/>
        </w:rPr>
        <w:noBreakHyphen/>
        <w:t>1</w:t>
      </w:r>
      <w:r>
        <w:rPr>
          <w:rFonts w:eastAsia="Times New Roman" w:cs="Times New Roman"/>
          <w:szCs w:val="20"/>
        </w:rPr>
        <w:noBreakHyphen/>
        <w:t>1510, 9</w:t>
      </w:r>
      <w:r>
        <w:rPr>
          <w:rFonts w:eastAsia="Times New Roman" w:cs="Times New Roman"/>
          <w:szCs w:val="20"/>
        </w:rPr>
        <w:noBreakHyphen/>
        <w:t>1</w:t>
      </w:r>
      <w:r>
        <w:rPr>
          <w:rFonts w:eastAsia="Times New Roman" w:cs="Times New Roman"/>
          <w:szCs w:val="20"/>
        </w:rPr>
        <w:noBreakHyphen/>
        <w:t>1515, 9</w:t>
      </w:r>
      <w:r>
        <w:rPr>
          <w:rFonts w:eastAsia="Times New Roman" w:cs="Times New Roman"/>
          <w:szCs w:val="20"/>
        </w:rPr>
        <w:noBreakHyphen/>
        <w:t>1</w:t>
      </w:r>
      <w:r>
        <w:rPr>
          <w:rFonts w:eastAsia="Times New Roman" w:cs="Times New Roman"/>
          <w:szCs w:val="20"/>
        </w:rPr>
        <w:noBreakHyphen/>
        <w:t>1550, 9</w:t>
      </w:r>
      <w:r>
        <w:rPr>
          <w:rFonts w:eastAsia="Times New Roman" w:cs="Times New Roman"/>
          <w:szCs w:val="20"/>
        </w:rPr>
        <w:noBreakHyphen/>
        <w:t>1</w:t>
      </w:r>
      <w:r>
        <w:rPr>
          <w:rFonts w:eastAsia="Times New Roman" w:cs="Times New Roman"/>
          <w:szCs w:val="20"/>
        </w:rPr>
        <w:noBreakHyphen/>
        <w:t>1660, 9</w:t>
      </w:r>
      <w:r>
        <w:rPr>
          <w:rFonts w:eastAsia="Times New Roman" w:cs="Times New Roman"/>
          <w:szCs w:val="20"/>
        </w:rPr>
        <w:noBreakHyphen/>
        <w:t>1</w:t>
      </w:r>
      <w:r>
        <w:rPr>
          <w:rFonts w:eastAsia="Times New Roman" w:cs="Times New Roman"/>
          <w:szCs w:val="20"/>
        </w:rPr>
        <w:noBreakHyphen/>
        <w:t>1770, AND 9</w:t>
      </w:r>
      <w:r>
        <w:rPr>
          <w:rFonts w:eastAsia="Times New Roman" w:cs="Times New Roman"/>
          <w:szCs w:val="20"/>
        </w:rPr>
        <w:noBreakHyphen/>
        <w:t>1</w:t>
      </w:r>
      <w:r>
        <w:rPr>
          <w:rFonts w:eastAsia="Times New Roman" w:cs="Times New Roman"/>
          <w:szCs w:val="20"/>
        </w:rPr>
        <w:noBreakHyphen/>
        <w:t>1850, CODE OF LAWS OF SOUTH CAROLINA, 1976, RELATING TO RETIREMENT AND EARLY RETIREMENT, CALCULATION OF RETIREMENT BENEFITS, SURVIVORS’ ANNUITIES, DEATH BENEFITS, AND SERVICE PURCHASE FOR PURPOSES OF THE SOUTH CAROLINA RETIREMENT SYSTEM, TO INCREASE FROM TWENTY</w:t>
      </w:r>
      <w:r>
        <w:rPr>
          <w:rFonts w:eastAsia="Times New Roman" w:cs="Times New Roman"/>
          <w:szCs w:val="20"/>
        </w:rPr>
        <w:noBreakHyphen/>
        <w:t>EIGHT TO THIRTY YEARS THE SERVICE CREDIT REQUIRED FOR A NON</w:t>
      </w:r>
      <w:r>
        <w:rPr>
          <w:rFonts w:eastAsia="Times New Roman" w:cs="Times New Roman"/>
          <w:szCs w:val="20"/>
        </w:rPr>
        <w:noBreakHyphen/>
        <w:t>VESTED MEMBER OF THAT SYSTEM, ON THE DATE THIS ACT TAKES EFFECT, TO RETIRE AT ANY AGE WITHOUT A REDUCTION IN BENEFITS, AND TO MAKE THE APPROPRIATE CONFORMING AMENDMENTS.</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9</w:t>
      </w:r>
      <w:r>
        <w:rPr>
          <w:rFonts w:cs="Times New Roman"/>
        </w:rPr>
        <w:noBreakHyphen/>
        <w:t>1</w:t>
      </w:r>
      <w:r>
        <w:rPr>
          <w:rFonts w:cs="Times New Roman"/>
        </w:rPr>
        <w:noBreakHyphen/>
        <w:t>1510(2)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 xml:space="preserve">attained the age of sixty years or has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and”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9</w:t>
      </w:r>
      <w:r>
        <w:rPr>
          <w:rFonts w:cs="Times New Roman"/>
        </w:rPr>
        <w:noBreakHyphen/>
        <w:t>1</w:t>
      </w:r>
      <w:r>
        <w:rPr>
          <w:rFonts w:cs="Times New Roman"/>
        </w:rPr>
        <w:noBreakHyphen/>
        <w:t>1515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1515.</w:t>
      </w:r>
      <w:r>
        <w:rPr>
          <w:rFonts w:cs="Times New Roman"/>
        </w:rPr>
        <w:tab/>
        <w:t>(A)</w:t>
      </w:r>
      <w:r>
        <w:rPr>
          <w:rFonts w:cs="Times New Roman"/>
        </w:rPr>
        <w:tab/>
        <w:t xml:space="preserve">In addition to other types of retirement provided by this chapter, a member may elect early retirement if the member: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has five or more years of earned service;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has attained the age of fifty</w:t>
      </w:r>
      <w:r>
        <w:rPr>
          <w:rFonts w:cs="Times New Roman"/>
        </w:rPr>
        <w:noBreakHyphen/>
        <w:t xml:space="preserve">five years;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has at least twenty</w:t>
      </w:r>
      <w:r>
        <w:rPr>
          <w:rFonts w:cs="Times New Roman"/>
        </w:rPr>
        <w:noBreakHyphen/>
        <w:t xml:space="preserve">five years of creditable service; and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t>(4)</w:t>
      </w:r>
      <w:r>
        <w:rPr>
          <w:rFonts w:cs="Times New Roman"/>
        </w:rPr>
        <w:tab/>
        <w:t xml:space="preserve">has separated from service.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 member electing early retirement shall apply in the manner provided in Section 9</w:t>
      </w:r>
      <w:r>
        <w:rPr>
          <w:rFonts w:cs="Times New Roman"/>
        </w:rPr>
        <w:noBreakHyphen/>
        <w:t>1</w:t>
      </w:r>
      <w:r>
        <w:rPr>
          <w:rFonts w:cs="Times New Roman"/>
        </w:rPr>
        <w:noBreakHyphen/>
        <w:t xml:space="preserve">1510.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benefits for a member electing early retirement under this section must be calculated in the manner provided in Section 9</w:t>
      </w:r>
      <w:r>
        <w:rPr>
          <w:rFonts w:cs="Times New Roman"/>
        </w:rPr>
        <w:noBreakHyphen/>
        <w:t>1</w:t>
      </w:r>
      <w:r>
        <w:rPr>
          <w:rFonts w:cs="Times New Roman"/>
        </w:rPr>
        <w:noBreakHyphen/>
        <w:t xml:space="preserve">1550, except that in lieu of any other reduction factor, the member’s early retirement allowance is reduced by four percent a year, prorated for periods less than one year, for each year of creditable service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member who elects early retirement under this section is ineligible to receive any cost</w:t>
      </w:r>
      <w:r>
        <w:rPr>
          <w:rFonts w:cs="Times New Roman"/>
        </w:rPr>
        <w:noBreakHyphen/>
        <w:t>of</w:t>
      </w:r>
      <w:r>
        <w:rPr>
          <w:rFonts w:cs="Times New Roman"/>
        </w:rPr>
        <w:noBreakHyphen/>
        <w:t xml:space="preserve">living increase provided by law to retirees until the second July first after the date the member attains age sixty; or the second July first after the date the member would have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creditable service had he not retired, whichever is earlier.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(D)(1)</w:t>
      </w:r>
      <w:r>
        <w:rPr>
          <w:rFonts w:cs="Times New Roman"/>
        </w:rPr>
        <w:tab/>
        <w:t xml:space="preserve">Except as provided in item (2) of this subsection, a member who elects early retirement under this section is not covered by the State Insurance Benefits Plan until the earlier of: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the date the member attains age sixty, or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the date the member would have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creditable service had he not retired.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of the State Budget and Control Board.”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9</w:t>
      </w:r>
      <w:r>
        <w:rPr>
          <w:rFonts w:cs="Times New Roman"/>
        </w:rPr>
        <w:noBreakHyphen/>
        <w:t>1</w:t>
      </w:r>
      <w:r>
        <w:rPr>
          <w:rFonts w:cs="Times New Roman"/>
        </w:rPr>
        <w:noBreakHyphen/>
        <w:t>1550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1550.</w:t>
      </w:r>
      <w:r>
        <w:rPr>
          <w:rFonts w:cs="Times New Roman"/>
        </w:rPr>
        <w:tab/>
        <w:t>(A)</w:t>
      </w:r>
      <w:r>
        <w:rPr>
          <w:rFonts w:cs="Times New Roman"/>
        </w:rPr>
        <w:tab/>
        <w:t>Upon retirement from service on or after July 1, 1964, a Class One member shall receive a service retirement allowance, which shall consist of:</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an employee annuity which shall be the actuarial equivalent of his accumulated contributions at the time of his retirement; and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an employer annuity equal to the employee annuity allowable at the age of sixty</w:t>
      </w:r>
      <w:r>
        <w:rPr>
          <w:rFonts w:cs="Times New Roman"/>
        </w:rPr>
        <w:noBreakHyphen/>
        <w:t>five years or at age of retirement, whichever is less, computed on the basis of contributions made prior to the age of sixty</w:t>
      </w:r>
      <w:r>
        <w:rPr>
          <w:rFonts w:cs="Times New Roman"/>
        </w:rPr>
        <w:noBreakHyphen/>
        <w:t xml:space="preserve">five years; and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if he has a prior service certificate in full force and effect, an additional employer annuity which must be equal to the employee annuity which would have been provided at age sixty</w:t>
      </w:r>
      <w:r>
        <w:rPr>
          <w:rFonts w:cs="Times New Roman"/>
        </w:rPr>
        <w:noBreakHyphen/>
        <w:t xml:space="preserve">five or at age of retirement, whichever is less, by twice the contributions which he would have made during his entire period of prior service had the system been in operation and had he contributed thereunder during such entire period.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Upon retirement from service after </w:t>
      </w:r>
      <w:r>
        <w:rPr>
          <w:rFonts w:cs="Times New Roman"/>
          <w:strike/>
        </w:rPr>
        <w:t>December 31, 2000</w:t>
      </w:r>
      <w:r>
        <w:rPr>
          <w:rFonts w:cs="Times New Roman"/>
        </w:rPr>
        <w:t xml:space="preserve"> </w:t>
      </w:r>
      <w:r>
        <w:rPr>
          <w:rFonts w:cs="Times New Roman"/>
          <w:u w:val="single"/>
        </w:rPr>
        <w:t>June 30, 2009</w:t>
      </w:r>
      <w:r>
        <w:rPr>
          <w:rFonts w:cs="Times New Roman"/>
        </w:rPr>
        <w:t>, a Class One member shall receive a service retirement allowance computed as follows:  If the member’s service retirement date occurs on or after his sixty</w:t>
      </w:r>
      <w:r>
        <w:rPr>
          <w:rFonts w:cs="Times New Roman"/>
        </w:rPr>
        <w:noBreakHyphen/>
        <w:t xml:space="preserve">fifth birthday, or after he has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the allowance must be equal to one and forty</w:t>
      </w:r>
      <w:r>
        <w:rPr>
          <w:rFonts w:cs="Times New Roman"/>
        </w:rPr>
        <w:noBreakHyphen/>
        <w:t xml:space="preserve">five hundredths percent of his average final compensation multiplied by the number of years of his creditable service.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If the member’s service retirement date occurs before his sixty</w:t>
      </w:r>
      <w:r>
        <w:rPr>
          <w:rFonts w:cs="Times New Roman"/>
        </w:rPr>
        <w:noBreakHyphen/>
        <w:t xml:space="preserve">fifth birthday and before he completes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his service retirement allowance is computed as above, but is reduced by five</w:t>
      </w:r>
      <w:r>
        <w:rPr>
          <w:rFonts w:cs="Times New Roman"/>
        </w:rPr>
        <w:noBreakHyphen/>
        <w:t>twelfths of one percent thereof for each month by which his retirement date precedes the first day of the month, prorated for periods less than a month, coincident with or next following his sixty</w:t>
      </w:r>
      <w:r>
        <w:rPr>
          <w:rFonts w:cs="Times New Roman"/>
        </w:rPr>
        <w:noBreakHyphen/>
        <w:t xml:space="preserve">fifth birthday.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Notwithstanding the foregoing provisions, any Class One member who retires on or after July 1, 1976, shall receive not less than the benefit provided under the formula in effect before July 1, 1976.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Upon retirement from service after </w:t>
      </w:r>
      <w:r>
        <w:rPr>
          <w:rFonts w:cs="Times New Roman"/>
          <w:strike/>
        </w:rPr>
        <w:t>December 31, 2000</w:t>
      </w:r>
      <w:r>
        <w:rPr>
          <w:rFonts w:cs="Times New Roman"/>
        </w:rPr>
        <w:t xml:space="preserve"> </w:t>
      </w:r>
      <w:r>
        <w:rPr>
          <w:rFonts w:cs="Times New Roman"/>
          <w:u w:val="single"/>
        </w:rPr>
        <w:t>June 30, 2009</w:t>
      </w:r>
      <w:r>
        <w:rPr>
          <w:rFonts w:cs="Times New Roman"/>
        </w:rPr>
        <w:t xml:space="preserve">, a Class Two member shall receive a service retirement allowance computed as follows: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If the member’s service retirement date occurs on or after his sixty</w:t>
      </w:r>
      <w:r>
        <w:rPr>
          <w:rFonts w:cs="Times New Roman"/>
        </w:rPr>
        <w:noBreakHyphen/>
        <w:t xml:space="preserve">fifth birthday or after he has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the allowance must be equal to one and eighty</w:t>
      </w:r>
      <w:r>
        <w:rPr>
          <w:rFonts w:cs="Times New Roman"/>
        </w:rPr>
        <w:noBreakHyphen/>
        <w:t xml:space="preserve">two hundredths percent of his average final compensation, multiplied by the number of years of his creditable service.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If the member’s service retirement date occurs before his sixty</w:t>
      </w:r>
      <w:r>
        <w:rPr>
          <w:rFonts w:cs="Times New Roman"/>
        </w:rPr>
        <w:noBreakHyphen/>
        <w:t xml:space="preserve">fifth birthday and before he completes the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his service retirement allowance is computed as in item (1) above but is reduced by five</w:t>
      </w:r>
      <w:r>
        <w:rPr>
          <w:rFonts w:cs="Times New Roman"/>
        </w:rPr>
        <w:noBreakHyphen/>
        <w:t>twelfths of one percent thereof for each month, prorated for periods less than a month, by which his retirement date precedes the first day of the month coincident with or next following his sixty</w:t>
      </w:r>
      <w:r>
        <w:rPr>
          <w:rFonts w:cs="Times New Roman"/>
        </w:rPr>
        <w:noBreakHyphen/>
        <w:t xml:space="preserve">fifth birthday.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Notwithstanding the foregoing provisions, a Class Two member whose creditable service began before July 1, 1964, shall receive not less than the benefit provided by subsection (A) of this section.”</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4.</w:t>
      </w:r>
      <w:r>
        <w:rPr>
          <w:rFonts w:cs="Times New Roman"/>
        </w:rPr>
        <w:tab/>
        <w:t>Section 9</w:t>
      </w:r>
      <w:r>
        <w:rPr>
          <w:rFonts w:cs="Times New Roman"/>
        </w:rPr>
        <w:noBreakHyphen/>
        <w:t>1</w:t>
      </w:r>
      <w:r>
        <w:rPr>
          <w:rFonts w:cs="Times New Roman"/>
        </w:rPr>
        <w:noBreakHyphen/>
        <w:t>1660(A)(3)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“(3)</w:t>
      </w:r>
      <w:r>
        <w:rPr>
          <w:rFonts w:cs="Times New Roman"/>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Pr>
          <w:rFonts w:cs="Times New Roman"/>
        </w:rPr>
        <w:noBreakHyphen/>
        <w:t>1</w:t>
      </w:r>
      <w:r>
        <w:rPr>
          <w:rFonts w:cs="Times New Roman"/>
        </w:rPr>
        <w:noBreakHyphen/>
        <w:t xml:space="preserve">1620(A).  For purposes of the benefit calculation, a member under age sixty with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 is assumed to be sixty years of age.”</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5.</w:t>
      </w:r>
      <w:r>
        <w:rPr>
          <w:rFonts w:cs="Times New Roman"/>
        </w:rPr>
        <w:tab/>
        <w:t>Section 9</w:t>
      </w:r>
      <w:r>
        <w:rPr>
          <w:rFonts w:cs="Times New Roman"/>
        </w:rPr>
        <w:noBreakHyphen/>
        <w:t>1</w:t>
      </w:r>
      <w:r>
        <w:rPr>
          <w:rFonts w:cs="Times New Roman"/>
        </w:rPr>
        <w:noBreakHyphen/>
        <w:t>1770(E)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“(E)</w:t>
      </w:r>
      <w:r>
        <w:rPr>
          <w:rFonts w:cs="Times New Roman"/>
        </w:rPr>
        <w:tab/>
        <w:t xml:space="preserve">Upon the death of a retired member </w:t>
      </w:r>
      <w:r>
        <w:rPr>
          <w:rFonts w:cs="Times New Roman"/>
          <w:strike/>
        </w:rPr>
        <w:t>who is not a retired contributing member</w:t>
      </w:r>
      <w:r>
        <w:rPr>
          <w:rFonts w:cs="Times New Roman"/>
        </w:rPr>
        <w:t xml:space="preserve"> after </w:t>
      </w:r>
      <w:r>
        <w:rPr>
          <w:rFonts w:cs="Times New Roman"/>
          <w:strike/>
        </w:rPr>
        <w:t>December 31, 2000</w:t>
      </w:r>
      <w:r>
        <w:rPr>
          <w:rFonts w:cs="Times New Roman"/>
        </w:rPr>
        <w:t xml:space="preserve"> </w:t>
      </w:r>
      <w:r>
        <w:rPr>
          <w:rFonts w:cs="Times New Roman"/>
          <w:u w:val="single"/>
        </w:rPr>
        <w:t>June 30, 2009</w:t>
      </w:r>
      <w:r>
        <w:rPr>
          <w:rFonts w:cs="Times New Roman"/>
        </w:rPr>
        <w:t xml:space="preserve">, there must be paid to the designated beneficiary or beneficiaries, if living at the time of the retired member’s death, otherwise to the retired member’s estate, a life insurance benefit of two thousand dollars if the retired member had ten years of creditable service but less than twenty years, four thousand dollars if the retired member had twenty years of creditable service but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and six thousand dollars if the retired member had at least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at the time of retirement, if the retired member’s most recent employer, before the member’s retirement, is covered by the Group Life Insurance Program.”</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6.</w:t>
      </w:r>
      <w:r>
        <w:rPr>
          <w:rFonts w:cs="Times New Roman"/>
        </w:rPr>
        <w:tab/>
        <w:t>Section 9</w:t>
      </w:r>
      <w:r>
        <w:rPr>
          <w:rFonts w:cs="Times New Roman"/>
        </w:rPr>
        <w:noBreakHyphen/>
        <w:t>1</w:t>
      </w:r>
      <w:r>
        <w:rPr>
          <w:rFonts w:cs="Times New Roman"/>
        </w:rPr>
        <w:noBreakHyphen/>
        <w:t>1850 of the 1976 Code is amended to read:</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1850.</w:t>
      </w:r>
      <w:r>
        <w:rPr>
          <w:rFonts w:cs="Times New Roman"/>
        </w:rPr>
        <w:tab/>
        <w:t>A member who has at least twenty</w:t>
      </w:r>
      <w:r>
        <w:rPr>
          <w:rFonts w:cs="Times New Roman"/>
        </w:rPr>
        <w:noBreakHyphen/>
        <w:t xml:space="preserve">five years of creditable service may elect to receive up to </w:t>
      </w:r>
      <w:r>
        <w:rPr>
          <w:rFonts w:cs="Times New Roman"/>
          <w:strike/>
        </w:rPr>
        <w:t>three</w:t>
      </w:r>
      <w:r>
        <w:rPr>
          <w:rFonts w:cs="Times New Roman"/>
        </w:rPr>
        <w:t xml:space="preserve"> </w:t>
      </w:r>
      <w:r>
        <w:rPr>
          <w:rFonts w:cs="Times New Roman"/>
          <w:u w:val="single"/>
        </w:rPr>
        <w:t>five</w:t>
      </w:r>
      <w:r>
        <w:rPr>
          <w:rFonts w:cs="Times New Roman"/>
        </w:rPr>
        <w:t xml:space="preserv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The retirement benefits of the member shall not commence until the time benefits would have been paid when the member had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service. </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The option allowed by this section cannot be exercised if the member has purchased nonqualified service pursuant to Section 9</w:t>
      </w:r>
      <w:r>
        <w:rPr>
          <w:rFonts w:cs="Times New Roman"/>
        </w:rPr>
        <w:noBreakHyphen/>
        <w:t>1</w:t>
      </w:r>
      <w:r>
        <w:rPr>
          <w:rFonts w:cs="Times New Roman"/>
        </w:rPr>
        <w:noBreakHyphen/>
        <w:t>1140(E).”</w:t>
      </w:r>
    </w:p>
    <w:p w:rsidR="0011102A" w:rsidRDefault="0011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7.</w:t>
      </w:r>
      <w:r>
        <w:rPr>
          <w:rFonts w:cs="Times New Roman"/>
        </w:rPr>
        <w:tab/>
        <w:t>This act takes effect upon approval by the Governor and applies with respect to applications for retirement filed with the South Carolina Retirement System after June 30, 2009, by members with less than five years of earned service on the date this act takes effect, and in the case of Section 9</w:t>
      </w:r>
      <w:r>
        <w:rPr>
          <w:rFonts w:cs="Times New Roman"/>
        </w:rPr>
        <w:noBreakHyphen/>
        <w:t>1</w:t>
      </w:r>
      <w:r>
        <w:rPr>
          <w:rFonts w:cs="Times New Roman"/>
        </w:rPr>
        <w:noBreakHyphen/>
        <w:t>1770 of the 1976 Code, as amended in this act, for retired members of the South Carolina Retirement System with less than five years of earned service on the date this act takes effect, dying after June 30, 2009.</w:t>
      </w:r>
    </w:p>
    <w:p w:rsidR="0011102A" w:rsidRDefault="005D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1102A" w:rsidSect="001110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02A" w:rsidRDefault="005D06D9">
      <w:r>
        <w:separator/>
      </w:r>
    </w:p>
  </w:endnote>
  <w:endnote w:type="continuationSeparator" w:id="0">
    <w:p w:rsidR="0011102A" w:rsidRDefault="005D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B95E21-5C1B-407A-BEE2-B1D107632FC4}"/>
    <w:embedBold r:id="rId2" w:fontKey="{5293ADBA-3A94-4254-A070-1D544384A147}"/>
  </w:font>
  <w:font w:name="Calibri">
    <w:panose1 w:val="020F0502020204030204"/>
    <w:charset w:val="00"/>
    <w:family w:val="swiss"/>
    <w:pitch w:val="variable"/>
    <w:sig w:usb0="E10002FF" w:usb1="4000ACFF" w:usb2="00000009" w:usb3="00000000" w:csb0="0000019F" w:csb1="00000000"/>
    <w:embedRegular r:id="rId3" w:fontKey="{61A45A53-8498-41E4-8AEB-4F133447EA6A}"/>
    <w:embedBold r:id="rId4" w:fontKey="{695FF514-8B18-45FE-8098-D2E188E733F4}"/>
  </w:font>
  <w:font w:name="Tahoma">
    <w:panose1 w:val="020B0604030504040204"/>
    <w:charset w:val="00"/>
    <w:family w:val="swiss"/>
    <w:pitch w:val="variable"/>
    <w:sig w:usb0="21002A87" w:usb1="80000000" w:usb2="00000008" w:usb3="00000000" w:csb0="000101FF" w:csb1="00000000"/>
    <w:embedRegular r:id="rId5" w:fontKey="{710DF3C8-7995-4AEA-9CA7-487B36F7DB4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04F3C7B-6D3A-4795-BFFC-25445F960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02A" w:rsidRDefault="005D06D9">
    <w:pPr>
      <w:pStyle w:val="Footer"/>
      <w:tabs>
        <w:tab w:val="clear" w:pos="4680"/>
        <w:tab w:val="clear" w:pos="9360"/>
        <w:tab w:val="center" w:pos="2995"/>
      </w:tabs>
      <w:spacing w:before="120"/>
    </w:pPr>
    <w:r>
      <w:t>[212]</w:t>
    </w:r>
    <w:r>
      <w:tab/>
    </w:r>
    <w:r w:rsidR="005D7F25">
      <w:fldChar w:fldCharType="begin"/>
    </w:r>
    <w:r w:rsidR="005D7F25">
      <w:instrText xml:space="preserve"> PAGE  \* MERGEFORMAT </w:instrText>
    </w:r>
    <w:r w:rsidR="005D7F25">
      <w:fldChar w:fldCharType="separate"/>
    </w:r>
    <w:r w:rsidR="005D7F25">
      <w:rPr>
        <w:noProof/>
      </w:rPr>
      <w:t>1</w:t>
    </w:r>
    <w:r w:rsidR="005D7F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02A" w:rsidRDefault="005D06D9">
      <w:r>
        <w:separator/>
      </w:r>
    </w:p>
  </w:footnote>
  <w:footnote w:type="continuationSeparator" w:id="0">
    <w:p w:rsidR="0011102A" w:rsidRDefault="005D0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1102A"/>
    <w:rsid w:val="0011102A"/>
    <w:rsid w:val="002B52BD"/>
    <w:rsid w:val="005D06D9"/>
    <w:rsid w:val="005D7F25"/>
    <w:rsid w:val="005E05FB"/>
    <w:rsid w:val="008E6DB3"/>
    <w:rsid w:val="0093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2EF1EA-EFA0-4609-BE1E-A3C3B101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1102A"/>
    <w:rPr>
      <w:szCs w:val="21"/>
    </w:rPr>
  </w:style>
  <w:style w:type="character" w:customStyle="1" w:styleId="PlainTextChar">
    <w:name w:val="Plain Text Char"/>
    <w:basedOn w:val="DefaultParagraphFont"/>
    <w:link w:val="PlainText"/>
    <w:uiPriority w:val="99"/>
    <w:rsid w:val="0011102A"/>
    <w:rPr>
      <w:szCs w:val="21"/>
    </w:rPr>
  </w:style>
  <w:style w:type="paragraph" w:styleId="BodyText">
    <w:name w:val="Body Text"/>
    <w:basedOn w:val="Normal"/>
    <w:link w:val="BodyTextChar"/>
    <w:uiPriority w:val="99"/>
    <w:locked/>
    <w:rsid w:val="0011102A"/>
  </w:style>
  <w:style w:type="character" w:customStyle="1" w:styleId="BodyTextChar">
    <w:name w:val="Body Text Char"/>
    <w:basedOn w:val="DefaultParagraphFont"/>
    <w:link w:val="BodyText"/>
    <w:uiPriority w:val="99"/>
    <w:rsid w:val="0011102A"/>
  </w:style>
  <w:style w:type="paragraph" w:styleId="BalloonText">
    <w:name w:val="Balloon Text"/>
    <w:next w:val="Normal"/>
    <w:link w:val="BalloonTextChar"/>
    <w:uiPriority w:val="99"/>
    <w:unhideWhenUsed/>
    <w:rsid w:val="0011102A"/>
    <w:rPr>
      <w:rFonts w:cs="Tahoma"/>
      <w:szCs w:val="16"/>
    </w:rPr>
  </w:style>
  <w:style w:type="character" w:customStyle="1" w:styleId="BalloonTextChar">
    <w:name w:val="Balloon Text Char"/>
    <w:basedOn w:val="DefaultParagraphFont"/>
    <w:link w:val="BalloonText"/>
    <w:uiPriority w:val="99"/>
    <w:rsid w:val="0011102A"/>
    <w:rPr>
      <w:rFonts w:cs="Tahoma"/>
      <w:szCs w:val="16"/>
    </w:rPr>
  </w:style>
  <w:style w:type="paragraph" w:styleId="NormalWeb">
    <w:name w:val="Normal (Web)"/>
    <w:basedOn w:val="Normal"/>
    <w:next w:val="Normal"/>
    <w:semiHidden/>
    <w:locked/>
    <w:rsid w:val="0011102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1102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1102A"/>
    <w:rPr>
      <w:rFonts w:cs="Times New Roman"/>
    </w:rPr>
  </w:style>
  <w:style w:type="paragraph" w:styleId="Header">
    <w:name w:val="header"/>
    <w:basedOn w:val="Normal"/>
    <w:link w:val="HeaderChar"/>
    <w:uiPriority w:val="99"/>
    <w:semiHidden/>
    <w:unhideWhenUsed/>
    <w:locked/>
    <w:rsid w:val="0011102A"/>
    <w:pPr>
      <w:tabs>
        <w:tab w:val="center" w:pos="4680"/>
        <w:tab w:val="right" w:pos="9360"/>
      </w:tabs>
    </w:pPr>
  </w:style>
  <w:style w:type="character" w:customStyle="1" w:styleId="HeaderChar">
    <w:name w:val="Header Char"/>
    <w:basedOn w:val="DefaultParagraphFont"/>
    <w:link w:val="Header"/>
    <w:uiPriority w:val="99"/>
    <w:semiHidden/>
    <w:rsid w:val="0011102A"/>
  </w:style>
  <w:style w:type="character" w:styleId="LineNumber">
    <w:name w:val="line number"/>
    <w:basedOn w:val="DefaultParagraphFont"/>
    <w:uiPriority w:val="99"/>
    <w:semiHidden/>
    <w:unhideWhenUsed/>
    <w:locked/>
    <w:rsid w:val="0011102A"/>
  </w:style>
  <w:style w:type="character" w:styleId="Hyperlink">
    <w:name w:val="Hyperlink"/>
    <w:basedOn w:val="DefaultParagraphFont"/>
    <w:uiPriority w:val="99"/>
    <w:unhideWhenUsed/>
    <w:locked/>
    <w:rsid w:val="001110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2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1691</Words>
  <Characters>8873</Characters>
  <Application>Microsoft Office Word</Application>
  <DocSecurity>0</DocSecurity>
  <Lines>236</Lines>
  <Paragraphs>59</Paragraphs>
  <ScaleCrop>false</ScaleCrop>
  <Company>Project Management</Company>
  <LinksUpToDate>false</LinksUpToDate>
  <CharactersWithSpaces>10582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212: Retirement system - South Carolina Legislature Online</dc:title>
  <dc:subject/>
  <dc:creator>NSC</dc:creator>
  <cp:keywords/>
  <dc:description/>
  <cp:lastModifiedBy>N Cumfer</cp:lastModifiedBy>
  <cp:revision>15</cp:revision>
  <dcterms:created xsi:type="dcterms:W3CDTF">2008-12-17T19:47:00Z</dcterms:created>
  <dcterms:modified xsi:type="dcterms:W3CDTF">2014-11-24T14:55:00Z</dcterms:modified>
</cp:coreProperties>
</file>